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1C6" w:rsidRDefault="006D51C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D51C6" w:rsidRDefault="006D51C6">
      <w:pPr>
        <w:pStyle w:val="ConsPlusNormal"/>
        <w:jc w:val="both"/>
        <w:outlineLvl w:val="0"/>
      </w:pPr>
    </w:p>
    <w:p w:rsidR="006D51C6" w:rsidRDefault="006D51C6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6D51C6" w:rsidRDefault="006D51C6">
      <w:pPr>
        <w:pStyle w:val="ConsPlusTitle"/>
        <w:jc w:val="center"/>
      </w:pPr>
    </w:p>
    <w:p w:rsidR="006D51C6" w:rsidRDefault="006D51C6">
      <w:pPr>
        <w:pStyle w:val="ConsPlusTitle"/>
        <w:jc w:val="center"/>
      </w:pPr>
      <w:r>
        <w:t>ФЕДЕРАЛЬНАЯ СЛУЖБА ГОСУДАРСТВЕННОЙ СТАТИСТИКИ</w:t>
      </w:r>
    </w:p>
    <w:p w:rsidR="006D51C6" w:rsidRDefault="006D51C6">
      <w:pPr>
        <w:pStyle w:val="ConsPlusTitle"/>
        <w:jc w:val="center"/>
      </w:pPr>
    </w:p>
    <w:p w:rsidR="006D51C6" w:rsidRDefault="006D51C6">
      <w:pPr>
        <w:pStyle w:val="ConsPlusTitle"/>
        <w:jc w:val="center"/>
      </w:pPr>
      <w:r>
        <w:t>ПРИКАЗ</w:t>
      </w:r>
    </w:p>
    <w:p w:rsidR="006D51C6" w:rsidRDefault="006D51C6">
      <w:pPr>
        <w:pStyle w:val="ConsPlusTitle"/>
        <w:jc w:val="center"/>
      </w:pPr>
      <w:r>
        <w:t>от 22 июня 2020 г. N 326</w:t>
      </w:r>
    </w:p>
    <w:p w:rsidR="006D51C6" w:rsidRDefault="006D51C6">
      <w:pPr>
        <w:pStyle w:val="ConsPlusTitle"/>
        <w:jc w:val="center"/>
      </w:pPr>
    </w:p>
    <w:p w:rsidR="006D51C6" w:rsidRDefault="006D51C6">
      <w:pPr>
        <w:pStyle w:val="ConsPlusTitle"/>
        <w:jc w:val="center"/>
      </w:pPr>
      <w:r>
        <w:t>ОБ УТВЕРЖДЕНИИ ФОРМЫ</w:t>
      </w:r>
    </w:p>
    <w:p w:rsidR="006D51C6" w:rsidRDefault="006D51C6">
      <w:pPr>
        <w:pStyle w:val="ConsPlusTitle"/>
        <w:jc w:val="center"/>
      </w:pPr>
      <w:r>
        <w:t>ФЕДЕРАЛЬНОГО СТАТИСТИЧЕСКОГО НАБЛЮДЕНИЯ ДЛЯ ОРГАНИЗАЦИИ</w:t>
      </w:r>
    </w:p>
    <w:p w:rsidR="006D51C6" w:rsidRDefault="006D51C6">
      <w:pPr>
        <w:pStyle w:val="ConsPlusTitle"/>
        <w:jc w:val="center"/>
      </w:pPr>
      <w:r>
        <w:t>ФЕДЕРАЛЬНОГО СТАТИСТИЧЕСКОГО НАБЛЮДЕНИЯ ЗА ТРАВМАТИЗМОМ</w:t>
      </w:r>
    </w:p>
    <w:p w:rsidR="006D51C6" w:rsidRDefault="006D51C6">
      <w:pPr>
        <w:pStyle w:val="ConsPlusTitle"/>
        <w:jc w:val="center"/>
      </w:pPr>
      <w:r>
        <w:t>НА ПРОИЗВОДСТВЕ И ПРОФЕССИОНАЛЬНЫМИ ЗАБОЛЕВАНИЯМИ</w:t>
      </w: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ind w:firstLine="540"/>
        <w:jc w:val="both"/>
      </w:pPr>
      <w:r>
        <w:t xml:space="preserve">В соответствии </w:t>
      </w:r>
      <w:hyperlink r:id="rId5" w:history="1">
        <w:r>
          <w:rPr>
            <w:color w:val="0000FF"/>
          </w:rPr>
          <w:t>подпунктом 5.5</w:t>
        </w:r>
      </w:hyperlink>
      <w:r>
        <w:t xml:space="preserve"> Положения о Федеральной службе государственной статистики", утвержденного постановлением Правительства Российской Федерации от 2 июня 2008 г. N 420, и во исполнение </w:t>
      </w:r>
      <w:hyperlink r:id="rId6" w:history="1">
        <w:r>
          <w:rPr>
            <w:color w:val="0000FF"/>
          </w:rPr>
          <w:t>позиции 1.30.11</w:t>
        </w:r>
      </w:hyperlink>
      <w:r>
        <w:t xml:space="preserve"> Федерального плана статистических работ, утвержденного распоряжением Правительства Российской Федерации от 6 мая 2008 г. N 671-р, приказываю:</w:t>
      </w:r>
    </w:p>
    <w:p w:rsidR="006D51C6" w:rsidRDefault="006D51C6">
      <w:pPr>
        <w:pStyle w:val="ConsPlusNormal"/>
        <w:spacing w:before="220"/>
        <w:ind w:firstLine="540"/>
        <w:jc w:val="both"/>
      </w:pPr>
      <w:bookmarkStart w:id="0" w:name="P14"/>
      <w:bookmarkEnd w:id="0"/>
      <w:r>
        <w:t xml:space="preserve">1. Утвердить прилагаемую годовую </w:t>
      </w:r>
      <w:hyperlink w:anchor="P35" w:history="1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N 7-травматизм "Сведения о травматизме на производстве и профессиональных заболеваниях" с </w:t>
      </w:r>
      <w:hyperlink w:anchor="P207" w:history="1">
        <w:r>
          <w:rPr>
            <w:color w:val="0000FF"/>
          </w:rPr>
          <w:t>указаниями</w:t>
        </w:r>
      </w:hyperlink>
      <w:r>
        <w:t xml:space="preserve"> по ее заполнению и ввести ее в действие с отчета за 2020 год.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2. Данные по указанной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приказа </w:t>
      </w:r>
      <w:hyperlink w:anchor="P35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предоставлять по адресам и в сроки в соответствии с установленными в </w:t>
      </w:r>
      <w:hyperlink w:anchor="P35" w:history="1">
        <w:r>
          <w:rPr>
            <w:color w:val="0000FF"/>
          </w:rPr>
          <w:t>форме</w:t>
        </w:r>
      </w:hyperlink>
      <w:r>
        <w:t>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3. С введением указанной в </w:t>
      </w:r>
      <w:hyperlink w:anchor="P14" w:history="1">
        <w:r>
          <w:rPr>
            <w:color w:val="0000FF"/>
          </w:rPr>
          <w:t>пункте 1</w:t>
        </w:r>
      </w:hyperlink>
      <w:r>
        <w:t xml:space="preserve"> настоящего приказа </w:t>
      </w:r>
      <w:hyperlink w:anchor="P35" w:history="1">
        <w:r>
          <w:rPr>
            <w:color w:val="0000FF"/>
          </w:rPr>
          <w:t>формы</w:t>
        </w:r>
      </w:hyperlink>
      <w:r>
        <w:t xml:space="preserve"> федерального статистического наблюдения признать утратившим силу </w:t>
      </w:r>
      <w:hyperlink r:id="rId7" w:history="1">
        <w:r>
          <w:rPr>
            <w:color w:val="0000FF"/>
          </w:rPr>
          <w:t>приказ</w:t>
        </w:r>
      </w:hyperlink>
      <w:r>
        <w:t xml:space="preserve"> Росстата от 21 июня 2017 г. N 417 "Об утверждении статистического инструментария для организации федерального статистического наблюдения за травматизмом на производстве и профессиональными заболеваниями".</w:t>
      </w: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jc w:val="right"/>
      </w:pPr>
      <w:r>
        <w:t>Руководитель</w:t>
      </w:r>
    </w:p>
    <w:p w:rsidR="006D51C6" w:rsidRDefault="006D51C6">
      <w:pPr>
        <w:pStyle w:val="ConsPlusNormal"/>
        <w:jc w:val="right"/>
      </w:pPr>
      <w:r>
        <w:t>П.В.МАЛКОВ</w:t>
      </w: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jc w:val="right"/>
        <w:outlineLvl w:val="0"/>
      </w:pPr>
      <w:r>
        <w:t>Утверждена</w:t>
      </w:r>
    </w:p>
    <w:p w:rsidR="006D51C6" w:rsidRDefault="006D51C6">
      <w:pPr>
        <w:pStyle w:val="ConsPlusNormal"/>
        <w:jc w:val="right"/>
      </w:pPr>
      <w:r>
        <w:t>приказом Росстата</w:t>
      </w:r>
    </w:p>
    <w:p w:rsidR="006D51C6" w:rsidRDefault="006D51C6">
      <w:pPr>
        <w:pStyle w:val="ConsPlusNormal"/>
        <w:jc w:val="right"/>
      </w:pPr>
      <w:r>
        <w:t>от 22.06.2020 N 326</w:t>
      </w:r>
    </w:p>
    <w:p w:rsidR="006D51C6" w:rsidRDefault="006D51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D51C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6" w:rsidRDefault="006D51C6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6D51C6" w:rsidRDefault="006D51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D51C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6" w:rsidRDefault="006D51C6">
            <w:pPr>
              <w:pStyle w:val="ConsPlusNormal"/>
              <w:jc w:val="center"/>
            </w:pPr>
            <w:r>
              <w:t xml:space="preserve"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</w:t>
            </w:r>
            <w:hyperlink r:id="rId8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 об административных правонарушениях</w:t>
            </w:r>
          </w:p>
        </w:tc>
      </w:tr>
    </w:tbl>
    <w:p w:rsidR="006D51C6" w:rsidRDefault="006D51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D51C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6" w:rsidRDefault="006D51C6">
            <w:pPr>
              <w:pStyle w:val="ConsPlusNormal"/>
              <w:jc w:val="center"/>
            </w:pPr>
            <w:r>
              <w:t>ВОЗМОЖНО ПРЕДОСТАВЛЕНИЕ В ЭЛЕКТРОННОМ ВИДЕ</w:t>
            </w:r>
          </w:p>
        </w:tc>
      </w:tr>
    </w:tbl>
    <w:p w:rsidR="006D51C6" w:rsidRDefault="006D51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D51C6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C6" w:rsidRDefault="006D51C6">
            <w:pPr>
              <w:pStyle w:val="ConsPlusNormal"/>
              <w:jc w:val="center"/>
            </w:pPr>
            <w:bookmarkStart w:id="1" w:name="P35"/>
            <w:bookmarkEnd w:id="1"/>
            <w:r>
              <w:t>СВЕДЕНИЯ О ТРАВМАТИЗМЕ НА ПРОИЗВОДСТВЕ И ПРОФЕССИОНАЛЬНЫХ ЗАБОЛЕВАНИЯХ</w:t>
            </w:r>
          </w:p>
          <w:p w:rsidR="006D51C6" w:rsidRDefault="006D51C6">
            <w:pPr>
              <w:pStyle w:val="ConsPlusNormal"/>
              <w:jc w:val="center"/>
            </w:pPr>
            <w:r>
              <w:t>за 20__ г.</w:t>
            </w:r>
          </w:p>
        </w:tc>
      </w:tr>
    </w:tbl>
    <w:p w:rsidR="006D51C6" w:rsidRDefault="006D51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79"/>
        <w:gridCol w:w="1814"/>
        <w:gridCol w:w="340"/>
        <w:gridCol w:w="2438"/>
      </w:tblGrid>
      <w:tr w:rsidR="006D51C6">
        <w:tc>
          <w:tcPr>
            <w:tcW w:w="4479" w:type="dxa"/>
          </w:tcPr>
          <w:p w:rsidR="006D51C6" w:rsidRDefault="006D51C6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1814" w:type="dxa"/>
          </w:tcPr>
          <w:p w:rsidR="006D51C6" w:rsidRDefault="006D51C6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2438" w:type="dxa"/>
          </w:tcPr>
          <w:p w:rsidR="006D51C6" w:rsidRDefault="006D51C6">
            <w:pPr>
              <w:pStyle w:val="ConsPlusNormal"/>
              <w:jc w:val="center"/>
            </w:pPr>
            <w:r>
              <w:t>Форма N 7-травматизм</w:t>
            </w:r>
          </w:p>
        </w:tc>
      </w:tr>
      <w:tr w:rsidR="006D51C6">
        <w:tblPrEx>
          <w:tblBorders>
            <w:right w:val="none" w:sz="0" w:space="0" w:color="auto"/>
          </w:tblBorders>
        </w:tblPrEx>
        <w:tc>
          <w:tcPr>
            <w:tcW w:w="4479" w:type="dxa"/>
            <w:vMerge w:val="restart"/>
          </w:tcPr>
          <w:p w:rsidR="006D51C6" w:rsidRDefault="006D51C6">
            <w:pPr>
              <w:pStyle w:val="ConsPlusNormal"/>
            </w:pPr>
            <w:r>
              <w:t>юридические лица (кроме микропредприятий),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органов:</w:t>
            </w:r>
          </w:p>
          <w:p w:rsidR="006D51C6" w:rsidRDefault="006D51C6">
            <w:pPr>
              <w:pStyle w:val="ConsPlusNormal"/>
              <w:ind w:left="283"/>
            </w:pPr>
            <w: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814" w:type="dxa"/>
            <w:vMerge w:val="restart"/>
          </w:tcPr>
          <w:p w:rsidR="006D51C6" w:rsidRDefault="006D51C6">
            <w:pPr>
              <w:pStyle w:val="ConsPlusNormal"/>
              <w:jc w:val="center"/>
            </w:pPr>
            <w:r>
              <w:t>25 января</w:t>
            </w:r>
          </w:p>
        </w:tc>
        <w:tc>
          <w:tcPr>
            <w:tcW w:w="340" w:type="dxa"/>
            <w:vMerge w:val="restart"/>
            <w:tcBorders>
              <w:top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  <w:jc w:val="center"/>
            </w:pPr>
            <w:r>
              <w:t>Приказ Росстата:</w:t>
            </w:r>
          </w:p>
          <w:p w:rsidR="006D51C6" w:rsidRDefault="006D51C6">
            <w:pPr>
              <w:pStyle w:val="ConsPlusNormal"/>
              <w:jc w:val="center"/>
            </w:pPr>
            <w:r>
              <w:t>Об утверждении формы</w:t>
            </w:r>
          </w:p>
          <w:p w:rsidR="006D51C6" w:rsidRDefault="006D51C6">
            <w:pPr>
              <w:pStyle w:val="ConsPlusNormal"/>
              <w:jc w:val="center"/>
            </w:pPr>
            <w:r>
              <w:t>от __________ N ___</w:t>
            </w:r>
          </w:p>
          <w:p w:rsidR="006D51C6" w:rsidRDefault="006D51C6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6D51C6" w:rsidRDefault="006D51C6">
            <w:pPr>
              <w:pStyle w:val="ConsPlusNormal"/>
              <w:jc w:val="center"/>
            </w:pPr>
            <w:r>
              <w:t>от __________ N ___</w:t>
            </w:r>
          </w:p>
          <w:p w:rsidR="006D51C6" w:rsidRDefault="006D51C6">
            <w:pPr>
              <w:pStyle w:val="ConsPlusNormal"/>
              <w:jc w:val="center"/>
            </w:pPr>
            <w:r>
              <w:t>от __________ N ___</w:t>
            </w:r>
          </w:p>
        </w:tc>
      </w:tr>
      <w:tr w:rsidR="006D51C6">
        <w:tblPrEx>
          <w:tblBorders>
            <w:right w:val="none" w:sz="0" w:space="0" w:color="auto"/>
            <w:insideH w:val="nil"/>
          </w:tblBorders>
        </w:tblPrEx>
        <w:tc>
          <w:tcPr>
            <w:tcW w:w="4479" w:type="dxa"/>
            <w:vMerge/>
          </w:tcPr>
          <w:p w:rsidR="006D51C6" w:rsidRDefault="006D51C6"/>
        </w:tc>
        <w:tc>
          <w:tcPr>
            <w:tcW w:w="1814" w:type="dxa"/>
            <w:vMerge/>
          </w:tcPr>
          <w:p w:rsidR="006D51C6" w:rsidRDefault="006D51C6"/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D51C6" w:rsidRDefault="006D51C6"/>
        </w:tc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4479" w:type="dxa"/>
            <w:vMerge/>
          </w:tcPr>
          <w:p w:rsidR="006D51C6" w:rsidRDefault="006D51C6"/>
        </w:tc>
        <w:tc>
          <w:tcPr>
            <w:tcW w:w="1814" w:type="dxa"/>
            <w:vMerge/>
          </w:tcPr>
          <w:p w:rsidR="006D51C6" w:rsidRDefault="006D51C6"/>
        </w:tc>
        <w:tc>
          <w:tcPr>
            <w:tcW w:w="340" w:type="dxa"/>
            <w:vMerge/>
            <w:tcBorders>
              <w:top w:val="nil"/>
              <w:bottom w:val="nil"/>
              <w:right w:val="nil"/>
            </w:tcBorders>
          </w:tcPr>
          <w:p w:rsidR="006D51C6" w:rsidRDefault="006D51C6"/>
        </w:tc>
        <w:tc>
          <w:tcPr>
            <w:tcW w:w="2438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Годовая</w:t>
            </w:r>
          </w:p>
        </w:tc>
      </w:tr>
    </w:tbl>
    <w:p w:rsidR="006D51C6" w:rsidRDefault="006D51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2721"/>
        <w:gridCol w:w="2608"/>
        <w:gridCol w:w="2551"/>
      </w:tblGrid>
      <w:tr w:rsidR="006D51C6">
        <w:tc>
          <w:tcPr>
            <w:tcW w:w="9071" w:type="dxa"/>
            <w:gridSpan w:val="4"/>
          </w:tcPr>
          <w:p w:rsidR="006D51C6" w:rsidRDefault="006D51C6">
            <w:pPr>
              <w:pStyle w:val="ConsPlusNormal"/>
            </w:pPr>
            <w:bookmarkStart w:id="2" w:name="P55"/>
            <w:bookmarkEnd w:id="2"/>
            <w:r>
              <w:t>Наименование отчитывающейся организации ____________________________</w:t>
            </w:r>
          </w:p>
        </w:tc>
      </w:tr>
      <w:tr w:rsidR="006D51C6">
        <w:tc>
          <w:tcPr>
            <w:tcW w:w="9071" w:type="dxa"/>
            <w:gridSpan w:val="4"/>
          </w:tcPr>
          <w:p w:rsidR="006D51C6" w:rsidRDefault="006D51C6">
            <w:pPr>
              <w:pStyle w:val="ConsPlusNormal"/>
            </w:pPr>
            <w:bookmarkStart w:id="3" w:name="P56"/>
            <w:bookmarkEnd w:id="3"/>
            <w:r>
              <w:t>Почтовый адрес ____________________________________________________</w:t>
            </w:r>
          </w:p>
        </w:tc>
      </w:tr>
      <w:tr w:rsidR="006D51C6">
        <w:tc>
          <w:tcPr>
            <w:tcW w:w="1191" w:type="dxa"/>
            <w:vMerge w:val="restart"/>
          </w:tcPr>
          <w:p w:rsidR="006D51C6" w:rsidRDefault="006D51C6">
            <w:pPr>
              <w:pStyle w:val="ConsPlusNormal"/>
              <w:jc w:val="center"/>
            </w:pPr>
            <w:bookmarkStart w:id="4" w:name="P57"/>
            <w:bookmarkEnd w:id="4"/>
            <w:r>
              <w:t xml:space="preserve">Код формы по </w:t>
            </w:r>
            <w:hyperlink r:id="rId9" w:history="1">
              <w:r>
                <w:rPr>
                  <w:color w:val="0000FF"/>
                </w:rPr>
                <w:t>ОКУД</w:t>
              </w:r>
            </w:hyperlink>
          </w:p>
        </w:tc>
        <w:tc>
          <w:tcPr>
            <w:tcW w:w="7880" w:type="dxa"/>
            <w:gridSpan w:val="3"/>
          </w:tcPr>
          <w:p w:rsidR="006D51C6" w:rsidRDefault="006D51C6">
            <w:pPr>
              <w:pStyle w:val="ConsPlusNormal"/>
              <w:jc w:val="center"/>
            </w:pPr>
            <w:r>
              <w:t>Код</w:t>
            </w:r>
          </w:p>
        </w:tc>
      </w:tr>
      <w:tr w:rsidR="006D51C6">
        <w:tc>
          <w:tcPr>
            <w:tcW w:w="1191" w:type="dxa"/>
            <w:vMerge/>
          </w:tcPr>
          <w:p w:rsidR="006D51C6" w:rsidRDefault="006D51C6"/>
        </w:tc>
        <w:tc>
          <w:tcPr>
            <w:tcW w:w="2721" w:type="dxa"/>
          </w:tcPr>
          <w:p w:rsidR="006D51C6" w:rsidRDefault="006D51C6">
            <w:pPr>
              <w:pStyle w:val="ConsPlusNormal"/>
              <w:jc w:val="center"/>
            </w:pPr>
            <w:r>
              <w:t>отчитывающейся организации по ОКПО</w:t>
            </w:r>
          </w:p>
          <w:p w:rsidR="006D51C6" w:rsidRDefault="006D51C6">
            <w:pPr>
              <w:pStyle w:val="ConsPlusNormal"/>
              <w:jc w:val="center"/>
            </w:pPr>
            <w:r>
              <w:t>(для территориально обособленного подразделения - идентификационный номер)</w:t>
            </w:r>
          </w:p>
        </w:tc>
        <w:tc>
          <w:tcPr>
            <w:tcW w:w="2608" w:type="dxa"/>
          </w:tcPr>
          <w:p w:rsidR="006D51C6" w:rsidRDefault="006D51C6">
            <w:pPr>
              <w:pStyle w:val="ConsPlusNormal"/>
            </w:pPr>
          </w:p>
        </w:tc>
        <w:tc>
          <w:tcPr>
            <w:tcW w:w="2551" w:type="dxa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1191" w:type="dxa"/>
          </w:tcPr>
          <w:p w:rsidR="006D51C6" w:rsidRDefault="006D51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6D51C6" w:rsidRDefault="006D51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</w:tcPr>
          <w:p w:rsidR="006D51C6" w:rsidRDefault="006D51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6D51C6" w:rsidRDefault="006D51C6">
            <w:pPr>
              <w:pStyle w:val="ConsPlusNormal"/>
              <w:jc w:val="center"/>
            </w:pPr>
            <w:r>
              <w:t>4</w:t>
            </w:r>
          </w:p>
        </w:tc>
      </w:tr>
      <w:tr w:rsidR="006D51C6">
        <w:tc>
          <w:tcPr>
            <w:tcW w:w="1191" w:type="dxa"/>
          </w:tcPr>
          <w:p w:rsidR="006D51C6" w:rsidRDefault="006D51C6">
            <w:pPr>
              <w:pStyle w:val="ConsPlusNormal"/>
              <w:jc w:val="center"/>
            </w:pPr>
            <w:r>
              <w:t>0609304</w:t>
            </w:r>
          </w:p>
        </w:tc>
        <w:tc>
          <w:tcPr>
            <w:tcW w:w="2721" w:type="dxa"/>
          </w:tcPr>
          <w:p w:rsidR="006D51C6" w:rsidRDefault="006D51C6">
            <w:pPr>
              <w:pStyle w:val="ConsPlusNormal"/>
            </w:pPr>
          </w:p>
        </w:tc>
        <w:tc>
          <w:tcPr>
            <w:tcW w:w="2608" w:type="dxa"/>
          </w:tcPr>
          <w:p w:rsidR="006D51C6" w:rsidRDefault="006D51C6">
            <w:pPr>
              <w:pStyle w:val="ConsPlusNormal"/>
            </w:pPr>
          </w:p>
        </w:tc>
        <w:tc>
          <w:tcPr>
            <w:tcW w:w="2551" w:type="dxa"/>
          </w:tcPr>
          <w:p w:rsidR="006D51C6" w:rsidRDefault="006D51C6">
            <w:pPr>
              <w:pStyle w:val="ConsPlusNormal"/>
            </w:pPr>
          </w:p>
        </w:tc>
      </w:tr>
    </w:tbl>
    <w:p w:rsidR="006D51C6" w:rsidRDefault="006D51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43"/>
        <w:gridCol w:w="850"/>
        <w:gridCol w:w="1304"/>
        <w:gridCol w:w="1474"/>
      </w:tblGrid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850" w:type="dxa"/>
          </w:tcPr>
          <w:p w:rsidR="006D51C6" w:rsidRDefault="006D51C6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</w:tcPr>
          <w:p w:rsidR="006D51C6" w:rsidRDefault="006D51C6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</w:tcPr>
          <w:p w:rsidR="006D51C6" w:rsidRDefault="006D51C6">
            <w:pPr>
              <w:pStyle w:val="ConsPlusNormal"/>
              <w:jc w:val="center"/>
            </w:pPr>
            <w:r>
              <w:t>За отчетный год</w:t>
            </w: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6D51C6" w:rsidRDefault="006D51C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</w:tcPr>
          <w:p w:rsidR="006D51C6" w:rsidRDefault="006D51C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6D51C6" w:rsidRDefault="006D51C6">
            <w:pPr>
              <w:pStyle w:val="ConsPlusNormal"/>
              <w:jc w:val="center"/>
            </w:pPr>
            <w:r>
              <w:t>4</w:t>
            </w: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>Численность пострадавших при несчастных случаях на производстве с утратой трудоспособности на 1 рабочий день и более и со смертельным исходом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5" w:name="P81"/>
            <w:bookmarkEnd w:id="5"/>
            <w:r>
              <w:t>01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566"/>
            </w:pPr>
            <w:r>
              <w:lastRenderedPageBreak/>
              <w:t>из них:</w:t>
            </w:r>
          </w:p>
          <w:p w:rsidR="006D51C6" w:rsidRDefault="006D51C6">
            <w:pPr>
              <w:pStyle w:val="ConsPlusNormal"/>
              <w:ind w:left="283"/>
            </w:pPr>
            <w:r>
              <w:t>женщин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6" w:name="P86"/>
            <w:bookmarkEnd w:id="6"/>
            <w:r>
              <w:t>02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283"/>
            </w:pPr>
            <w:r>
              <w:t>лиц до 18 лет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7" w:name="P90"/>
            <w:bookmarkEnd w:id="7"/>
            <w:r>
              <w:t>03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8" w:name="P94"/>
            <w:bookmarkEnd w:id="8"/>
            <w:r>
              <w:t>04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283"/>
            </w:pPr>
            <w:r>
              <w:t>по вине работников и работодателя данной организации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9" w:name="P98"/>
            <w:bookmarkEnd w:id="9"/>
            <w:r>
              <w:t>05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283"/>
            </w:pPr>
            <w:r>
              <w:t>работников, находившихся в состоянии алкогольного или наркотического опьянения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10" w:name="P102"/>
            <w:bookmarkEnd w:id="10"/>
            <w:r>
              <w:t>06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 xml:space="preserve">из </w:t>
            </w:r>
            <w:hyperlink w:anchor="P81" w:history="1">
              <w:r>
                <w:rPr>
                  <w:color w:val="0000FF"/>
                </w:rPr>
                <w:t>стр. 01</w:t>
              </w:r>
            </w:hyperlink>
            <w:r>
              <w:t xml:space="preserve"> численность пострадавших со смертельным исходом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11" w:name="P106"/>
            <w:bookmarkEnd w:id="11"/>
            <w:r>
              <w:t>07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566"/>
            </w:pPr>
            <w:r>
              <w:t>из них:</w:t>
            </w:r>
          </w:p>
          <w:p w:rsidR="006D51C6" w:rsidRDefault="006D51C6">
            <w:pPr>
              <w:pStyle w:val="ConsPlusNormal"/>
              <w:ind w:left="283"/>
            </w:pPr>
            <w:r>
              <w:t>женщин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12" w:name="P111"/>
            <w:bookmarkEnd w:id="12"/>
            <w:r>
              <w:t>08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283"/>
            </w:pPr>
            <w:r>
              <w:t>лиц до 18 лет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13" w:name="P115"/>
            <w:bookmarkEnd w:id="13"/>
            <w:r>
              <w:t>09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14" w:name="P119"/>
            <w:bookmarkEnd w:id="14"/>
            <w:r>
              <w:t>10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283"/>
            </w:pPr>
            <w:r>
              <w:t>по вине работников и работодателя данной организации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15" w:name="P123"/>
            <w:bookmarkEnd w:id="15"/>
            <w:r>
              <w:t>11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283"/>
            </w:pPr>
            <w:r>
              <w:t>работников, находившихся в состоянии алкогольного или наркотического опьянения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16" w:name="P127"/>
            <w:bookmarkEnd w:id="16"/>
            <w:r>
              <w:t>12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>Число рабочих человеко-дней нетрудоспособности у пострадавших с утратой трудоспособности на 1 рабочий день и более, временная нетрудоспособность которых закончилась в отчетном году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17" w:name="P131"/>
            <w:bookmarkEnd w:id="17"/>
            <w:r>
              <w:t>13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чел. дн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>Численность пострадавших, частично утративших трудоспособность и переведенных с основной работы на другую на 1 рабочий день и более в соответствии с медицинским заключением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18" w:name="P135"/>
            <w:bookmarkEnd w:id="18"/>
            <w:r>
              <w:t>14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283"/>
            </w:pPr>
            <w:r>
              <w:t>из них женщин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19" w:name="P139"/>
            <w:bookmarkEnd w:id="19"/>
            <w:r>
              <w:t>15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>Численность лиц с впервые установленным профессиональным заболеванием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20" w:name="P143"/>
            <w:bookmarkEnd w:id="20"/>
            <w:r>
              <w:t>16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>Израсходовано на мероприятия по охране труда - всего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21" w:name="P147"/>
            <w:bookmarkEnd w:id="21"/>
            <w:r>
              <w:t>17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>в том числе на:</w:t>
            </w:r>
          </w:p>
          <w:p w:rsidR="006D51C6" w:rsidRDefault="006D51C6">
            <w:pPr>
              <w:pStyle w:val="ConsPlusNormal"/>
            </w:pPr>
            <w:r>
              <w:t>приобретение спецодежды, спецобуви и других средств индивидуальной защиты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22" w:name="P152"/>
            <w:bookmarkEnd w:id="22"/>
            <w:r>
              <w:t>18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>реализацию организационных мероприятий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23" w:name="P156"/>
            <w:bookmarkEnd w:id="23"/>
            <w:r>
              <w:t>19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>реализацию технико-технологических мероприятий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24" w:name="P160"/>
            <w:bookmarkEnd w:id="24"/>
            <w:r>
              <w:t>20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>реализацию санитарно-гигиенических мероприятий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25" w:name="P164"/>
            <w:bookmarkEnd w:id="25"/>
            <w:r>
              <w:t>21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t>подготовку работников по охране труда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26" w:name="P168"/>
            <w:bookmarkEnd w:id="26"/>
            <w:r>
              <w:t>22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</w:pPr>
            <w:r>
              <w:lastRenderedPageBreak/>
              <w:t>Средняя численность работников (работники списочного состава и внешние совместители) за отчетный год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27" w:name="P172"/>
            <w:bookmarkEnd w:id="27"/>
            <w:r>
              <w:t>23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5443" w:type="dxa"/>
          </w:tcPr>
          <w:p w:rsidR="006D51C6" w:rsidRDefault="006D51C6">
            <w:pPr>
              <w:pStyle w:val="ConsPlusNormal"/>
              <w:ind w:left="283"/>
            </w:pPr>
            <w:r>
              <w:t>из них женщин</w:t>
            </w:r>
          </w:p>
        </w:tc>
        <w:tc>
          <w:tcPr>
            <w:tcW w:w="850" w:type="dxa"/>
            <w:vAlign w:val="center"/>
          </w:tcPr>
          <w:p w:rsidR="006D51C6" w:rsidRDefault="006D51C6">
            <w:pPr>
              <w:pStyle w:val="ConsPlusNormal"/>
              <w:jc w:val="center"/>
            </w:pPr>
            <w:bookmarkStart w:id="28" w:name="P176"/>
            <w:bookmarkEnd w:id="28"/>
            <w:r>
              <w:t>24</w:t>
            </w:r>
          </w:p>
        </w:tc>
        <w:tc>
          <w:tcPr>
            <w:tcW w:w="1304" w:type="dxa"/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1474" w:type="dxa"/>
            <w:vAlign w:val="center"/>
          </w:tcPr>
          <w:p w:rsidR="006D51C6" w:rsidRDefault="006D51C6">
            <w:pPr>
              <w:pStyle w:val="ConsPlusNormal"/>
            </w:pPr>
          </w:p>
        </w:tc>
      </w:tr>
    </w:tbl>
    <w:p w:rsidR="006D51C6" w:rsidRDefault="006D51C6">
      <w:pPr>
        <w:pStyle w:val="ConsPlusNormal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510"/>
        <w:gridCol w:w="397"/>
        <w:gridCol w:w="510"/>
      </w:tblGrid>
      <w:tr w:rsidR="006D51C6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  <w:jc w:val="both"/>
            </w:pPr>
            <w:bookmarkStart w:id="29" w:name="P180"/>
            <w:bookmarkEnd w:id="29"/>
            <w:r>
              <w:t>Справочно:</w:t>
            </w:r>
          </w:p>
        </w:tc>
      </w:tr>
      <w:tr w:rsidR="006D51C6">
        <w:tblPrEx>
          <w:tblBorders>
            <w:right w:val="single" w:sz="4" w:space="0" w:color="auto"/>
          </w:tblBorders>
        </w:tblPrEx>
        <w:tc>
          <w:tcPr>
            <w:tcW w:w="7654" w:type="dxa"/>
            <w:tcBorders>
              <w:top w:val="nil"/>
              <w:left w:val="nil"/>
              <w:bottom w:val="nil"/>
            </w:tcBorders>
          </w:tcPr>
          <w:p w:rsidR="006D51C6" w:rsidRDefault="006D51C6">
            <w:pPr>
              <w:pStyle w:val="ConsPlusNormal"/>
              <w:ind w:left="283"/>
            </w:pPr>
            <w:bookmarkStart w:id="30" w:name="P181"/>
            <w:bookmarkEnd w:id="30"/>
            <w:r>
              <w:t>Наличие на предприятии здравпункта (врачебного кабинета, медико-санитарной части и тому подобное) (25) (нужное обвести)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397" w:type="dxa"/>
            <w:tcBorders>
              <w:top w:val="nil"/>
              <w:bottom w:val="nil"/>
            </w:tcBorders>
            <w:vAlign w:val="center"/>
          </w:tcPr>
          <w:p w:rsidR="006D51C6" w:rsidRDefault="006D51C6">
            <w:pPr>
              <w:pStyle w:val="ConsPlusNormal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Нет</w:t>
            </w:r>
          </w:p>
        </w:tc>
      </w:tr>
    </w:tbl>
    <w:p w:rsidR="006D51C6" w:rsidRDefault="006D51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1531"/>
        <w:gridCol w:w="340"/>
        <w:gridCol w:w="1701"/>
        <w:gridCol w:w="340"/>
        <w:gridCol w:w="2268"/>
      </w:tblGrid>
      <w:tr w:rsidR="006D51C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  <w:jc w:val="center"/>
            </w:pPr>
            <w: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6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</w:tr>
      <w:tr w:rsidR="006D51C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D51C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E-mail: 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51C6" w:rsidRDefault="006D51C6">
            <w:pPr>
              <w:pStyle w:val="ConsPlusNormal"/>
              <w:jc w:val="center"/>
            </w:pPr>
            <w:r>
              <w:t>"__" _____ 20__ год</w:t>
            </w:r>
          </w:p>
        </w:tc>
      </w:tr>
      <w:tr w:rsidR="006D51C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  <w:jc w:val="center"/>
            </w:pPr>
            <w:r>
              <w:t>(номер контактного телефона)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</w:tr>
    </w:tbl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jc w:val="center"/>
        <w:outlineLvl w:val="1"/>
      </w:pPr>
      <w:bookmarkStart w:id="31" w:name="P207"/>
      <w:bookmarkEnd w:id="31"/>
      <w:r>
        <w:t>Указания</w:t>
      </w:r>
    </w:p>
    <w:p w:rsidR="006D51C6" w:rsidRDefault="006D51C6">
      <w:pPr>
        <w:pStyle w:val="ConsPlusNormal"/>
        <w:jc w:val="center"/>
      </w:pPr>
      <w:r>
        <w:t>по заполнению формы федерального статистического наблюдения</w:t>
      </w: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ind w:firstLine="540"/>
        <w:jc w:val="both"/>
      </w:pPr>
      <w:r>
        <w:t xml:space="preserve">1. </w:t>
      </w:r>
      <w:hyperlink w:anchor="P35" w:history="1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N 7-травматизм "Сведения о травматизме на производстве и профессиональных заболеваниях" (далее - форма) предоставляют юридические лица (кроме микропредприятий), осуществляющие все виды экономической деятельности, кроме: финансовой и страховой деятельности, деятельности по операциям с недвижимым имуществом, государственного управления и обеспечения военной безопасности, социального обеспечения, образования, деятельности домашних хозяйств как работодателей, недифференцированной деятельности частных домашних хозяйств по производству товаров и оказанию услуг для собственного потребления, деятельности экстерриториальных организаций и органов.</w:t>
      </w:r>
    </w:p>
    <w:p w:rsidR="006D51C6" w:rsidRDefault="006D51C6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Форму</w:t>
        </w:r>
      </w:hyperlink>
      <w:r>
        <w:t xml:space="preserve"> предоставляют юридические лица всех форм собственности.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При составлении </w:t>
      </w:r>
      <w:hyperlink w:anchor="P35" w:history="1">
        <w:r>
          <w:rPr>
            <w:color w:val="0000FF"/>
          </w:rPr>
          <w:t>формы</w:t>
        </w:r>
      </w:hyperlink>
      <w:r>
        <w:t xml:space="preserve"> должна быть обеспечена полнота заполнения и достоверность содержащихся в ней первичных статистических данных (далее - данные).</w:t>
      </w:r>
    </w:p>
    <w:p w:rsidR="006D51C6" w:rsidRDefault="006D51C6">
      <w:pPr>
        <w:pStyle w:val="ConsPlusNormal"/>
        <w:spacing w:before="220"/>
        <w:ind w:firstLine="540"/>
        <w:jc w:val="both"/>
      </w:pPr>
      <w:hyperlink w:anchor="P180" w:history="1">
        <w:r>
          <w:rPr>
            <w:color w:val="0000FF"/>
          </w:rPr>
          <w:t>Раздел</w:t>
        </w:r>
      </w:hyperlink>
      <w:r>
        <w:t xml:space="preserve"> "Справочно" должен быть заполнен в обязательном порядке.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2. При наличии у юридического лица обособленных подразделений &lt;1&gt; настоящая </w:t>
      </w:r>
      <w:hyperlink w:anchor="P35" w:history="1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юридическому лицу без этих обособленных подразделений.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lastRenderedPageBreak/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</w:t>
      </w:r>
      <w:hyperlink r:id="rId10" w:history="1">
        <w:r>
          <w:rPr>
            <w:color w:val="0000FF"/>
          </w:rPr>
          <w:t>пункт 2 статья 11</w:t>
        </w:r>
      </w:hyperlink>
      <w:r>
        <w:t xml:space="preserve"> Налогового кодекса Российской Федерации).</w:t>
      </w: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ind w:firstLine="540"/>
        <w:jc w:val="both"/>
      </w:pPr>
      <w:r>
        <w:t xml:space="preserve">Заполненные </w:t>
      </w:r>
      <w:hyperlink w:anchor="P35" w:history="1">
        <w:r>
          <w:rPr>
            <w:color w:val="0000FF"/>
          </w:rPr>
          <w:t>формы</w:t>
        </w:r>
      </w:hyperlink>
      <w:r>
        <w:t xml:space="preserve"> предоставляются юридическим лицом в территориальные органы Росстата по месту нахождения соответствующего обособленного подразделения (по обособленному подразделению) и по месту нахождения юридического лица (без обособленных подразделений). В случае, когда юридическое лицо (его обособленное подразделение) не осуществляет деятельность по месту своего нахождения, </w:t>
      </w:r>
      <w:hyperlink w:anchor="P35" w:history="1">
        <w:r>
          <w:rPr>
            <w:color w:val="0000FF"/>
          </w:rPr>
          <w:t>форма</w:t>
        </w:r>
      </w:hyperlink>
      <w:r>
        <w:t xml:space="preserve"> предоставляется по месту фактического осуществления им деятельности.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При наличии у юридического лица обособленных подразделений, расположенных на одной территории субъекта Российской Федерации с юридическим лицом, данные по </w:t>
      </w:r>
      <w:hyperlink w:anchor="P35" w:history="1">
        <w:r>
          <w:rPr>
            <w:color w:val="0000FF"/>
          </w:rPr>
          <w:t>форме</w:t>
        </w:r>
      </w:hyperlink>
      <w:r>
        <w:t xml:space="preserve"> предоставляются в целом по юридическому лицу, включая данные по обособленным подразделениям.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>При наличии у юридического лица обособленных подразделений, расположенных на территории разных субъектов Российской Федерации, данные предоставляются по каждому обособленному подразделению по месту их нахождения.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>При этом возможно предоставление сводного отчета за все обособленные подразделения юридического лица, осуществляющие деятельность в конкретном субъекте Российской Федерации, при условии назначения руководителем юридического лица должностного лица, ответственного за отражение агрегированных данных по этим подразделениям. В этом случае предоставление отчета закрепляется за одним из подразделений, определенным в данном субъекте Российской Федерации.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При наличии у юридического лица обособленных подразделений, осуществляющих деятельность за пределами Российской Федерации, данные по ним в настоящую </w:t>
      </w:r>
      <w:hyperlink w:anchor="P35" w:history="1">
        <w:r>
          <w:rPr>
            <w:color w:val="0000FF"/>
          </w:rPr>
          <w:t>форму</w:t>
        </w:r>
      </w:hyperlink>
      <w:r>
        <w:t xml:space="preserve"> не включаются.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Если в отчетном периоде организация не вела деятельность, то она сдает </w:t>
      </w:r>
      <w:hyperlink w:anchor="P35" w:history="1">
        <w:r>
          <w:rPr>
            <w:color w:val="0000FF"/>
          </w:rPr>
          <w:t>форму</w:t>
        </w:r>
      </w:hyperlink>
      <w:r>
        <w:t xml:space="preserve"> с заполненными </w:t>
      </w:r>
      <w:hyperlink w:anchor="P172" w:history="1">
        <w:r>
          <w:rPr>
            <w:color w:val="0000FF"/>
          </w:rPr>
          <w:t>строками 23</w:t>
        </w:r>
      </w:hyperlink>
      <w:r>
        <w:t xml:space="preserve"> - </w:t>
      </w:r>
      <w:hyperlink w:anchor="P181" w:history="1">
        <w:r>
          <w:rPr>
            <w:color w:val="0000FF"/>
          </w:rPr>
          <w:t>25</w:t>
        </w:r>
      </w:hyperlink>
      <w:r>
        <w:t>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>Руководитель юридического лица назначает должностных лиц, уполномоченных предоставлять данные от имени юридического лица.</w:t>
      </w:r>
    </w:p>
    <w:p w:rsidR="006D51C6" w:rsidRDefault="006D51C6">
      <w:pPr>
        <w:pStyle w:val="ConsPlusNormal"/>
        <w:spacing w:before="220"/>
        <w:ind w:firstLine="540"/>
        <w:jc w:val="both"/>
      </w:pPr>
      <w:hyperlink w:anchor="P35" w:history="1">
        <w:r>
          <w:rPr>
            <w:color w:val="0000FF"/>
          </w:rPr>
          <w:t>Форму</w:t>
        </w:r>
      </w:hyperlink>
      <w:r>
        <w:t xml:space="preserve"> предоставляют также филиалы, </w:t>
      </w:r>
      <w:proofErr w:type="gramStart"/>
      <w:r>
        <w:t>представительства и подразделения</w:t>
      </w:r>
      <w:proofErr w:type="gramEnd"/>
      <w:r>
        <w:t xml:space="preserve"> действующих на территории Российской Федерации иностранных организаций в порядке, установленном для юридических лиц.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В </w:t>
      </w:r>
      <w:hyperlink w:anchor="P55" w:history="1">
        <w:r>
          <w:rPr>
            <w:color w:val="0000FF"/>
          </w:rPr>
          <w:t>адресной части</w:t>
        </w:r>
      </w:hyperlink>
      <w:r>
        <w:t xml:space="preserve"> указывается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бланке </w:t>
      </w:r>
      <w:hyperlink w:anchor="P35" w:history="1">
        <w:r>
          <w:rPr>
            <w:color w:val="0000FF"/>
          </w:rPr>
          <w:t>формы</w:t>
        </w:r>
      </w:hyperlink>
      <w:r>
        <w:t>, содержащей данные по обособленному подразделению юридического лица, указывается наименование обособленного подразделения и юридического лица, к которому оно относится (</w:t>
      </w:r>
      <w:proofErr w:type="gramStart"/>
      <w:r>
        <w:t>например</w:t>
      </w:r>
      <w:proofErr w:type="gramEnd"/>
      <w:r>
        <w:t>: Филиал N 19 АО "Красный текстильщик").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По </w:t>
      </w:r>
      <w:hyperlink w:anchor="P56" w:history="1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Федерации, юридический адрес с почтовым индексом; если фактический адрес не совпадает с юридическим, то указывается фактическое местонахождение респондента (почтовый адрес).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В </w:t>
      </w:r>
      <w:hyperlink w:anchor="P57" w:history="1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</w:t>
      </w:r>
      <w:r>
        <w:lastRenderedPageBreak/>
        <w:t>ОКПО (идентификационного номера), размещенного на интернет-сайте Росстата по адресу: http://websbor.gks.ru/online/#!/gs/statistic-codes, отчитывающаяся организация проставляет: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территориально обособленных подразделений;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>идентификационный номер - для территориально обособленного подразделения юридического лица и для головного подразделения юридического лица.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Организации-банкроты, на которых введено конкурсное производство, не освобождаются от предоставления данных по </w:t>
      </w:r>
      <w:hyperlink w:anchor="P35" w:history="1">
        <w:r>
          <w:rPr>
            <w:color w:val="0000FF"/>
          </w:rPr>
          <w:t>форме</w:t>
        </w:r>
      </w:hyperlink>
      <w:r>
        <w:t>.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(</w:t>
      </w:r>
      <w:hyperlink r:id="rId11" w:history="1">
        <w:r>
          <w:rPr>
            <w:color w:val="0000FF"/>
          </w:rPr>
          <w:t>пункт 3 статьи 149</w:t>
        </w:r>
      </w:hyperlink>
      <w:r>
        <w:t xml:space="preserve"> Федерального закона от 26 октября 2002 г. N 127-ФЗ "О несостоятельности (банкротстве)") организация-должник считается ликвидированной и освобождается от предоставления данных по </w:t>
      </w:r>
      <w:hyperlink w:anchor="P35" w:history="1">
        <w:r>
          <w:rPr>
            <w:color w:val="0000FF"/>
          </w:rPr>
          <w:t>форме</w:t>
        </w:r>
      </w:hyperlink>
      <w:r>
        <w:t>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При реорганизации юридического лица в форме преобразования юридическое лицо, являющееся правопреемником, с момента своего создания должно предоставлять отчет по </w:t>
      </w:r>
      <w:hyperlink w:anchor="P35" w:history="1">
        <w:r>
          <w:rPr>
            <w:color w:val="0000FF"/>
          </w:rPr>
          <w:t>форме</w:t>
        </w:r>
      </w:hyperlink>
      <w:r>
        <w:t xml:space="preserve"> (включая данные реорганизованного юридического лица) в срок, указанный на бланке </w:t>
      </w:r>
      <w:hyperlink w:anchor="P35" w:history="1">
        <w:r>
          <w:rPr>
            <w:color w:val="0000FF"/>
          </w:rPr>
          <w:t>формы</w:t>
        </w:r>
      </w:hyperlink>
      <w:r>
        <w:t xml:space="preserve"> за период с начала отчетного года, в котором произошла реорганизация.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3. В </w:t>
      </w:r>
      <w:hyperlink w:anchor="P35" w:history="1">
        <w:r>
          <w:rPr>
            <w:color w:val="0000FF"/>
          </w:rPr>
          <w:t>форме</w:t>
        </w:r>
      </w:hyperlink>
      <w:r>
        <w:t xml:space="preserve"> отражаются данные о пострадавших при несчастных случаях на производстве в соответствии с Актом о несчастном случае на производстве по </w:t>
      </w:r>
      <w:hyperlink r:id="rId12" w:history="1">
        <w:r>
          <w:rPr>
            <w:color w:val="0000FF"/>
          </w:rPr>
          <w:t>форме Н-1</w:t>
        </w:r>
      </w:hyperlink>
      <w:r>
        <w:t xml:space="preserve"> или Актом о несчастном случае на производстве по </w:t>
      </w:r>
      <w:hyperlink r:id="rId13" w:history="1">
        <w:r>
          <w:rPr>
            <w:color w:val="0000FF"/>
          </w:rPr>
          <w:t>форме Н-1ПС</w:t>
        </w:r>
      </w:hyperlink>
      <w:r>
        <w:t xml:space="preserve"> (далее - акт формы Н-1 и акт формы Н-1ПС соответственно), утвержденными постановлением Минтруда России от 24 октября 2002 г. N 73 "Об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организациях" (зарегистрировано Минюстом России 5 декабря 2002 г., регистрационный N 3999), </w:t>
      </w:r>
      <w:hyperlink r:id="rId14" w:history="1">
        <w:r>
          <w:rPr>
            <w:color w:val="0000FF"/>
          </w:rPr>
          <w:t>статьями 227</w:t>
        </w:r>
      </w:hyperlink>
      <w:r>
        <w:t xml:space="preserve"> - </w:t>
      </w:r>
      <w:hyperlink r:id="rId15" w:history="1">
        <w:r>
          <w:rPr>
            <w:color w:val="0000FF"/>
          </w:rPr>
          <w:t>231</w:t>
        </w:r>
      </w:hyperlink>
      <w:r>
        <w:t xml:space="preserve"> Трудового кодекса Российской Федерации.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>4. Данные о затратах на мероприятия по охране труда показываются по данным бухгалтерского учета.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5. По </w:t>
      </w:r>
      <w:hyperlink w:anchor="P81" w:history="1">
        <w:r>
          <w:rPr>
            <w:color w:val="0000FF"/>
          </w:rPr>
          <w:t>строке 01</w:t>
        </w:r>
      </w:hyperlink>
      <w:r>
        <w:t xml:space="preserve"> показывают численность пострадавших с утратой трудоспособности на 1 рабочий день и более, включая пострадавших со смертельным исходом. По </w:t>
      </w:r>
      <w:hyperlink w:anchor="P86" w:history="1">
        <w:r>
          <w:rPr>
            <w:color w:val="0000FF"/>
          </w:rPr>
          <w:t>строкам 02</w:t>
        </w:r>
      </w:hyperlink>
      <w:r>
        <w:t xml:space="preserve"> - </w:t>
      </w:r>
      <w:hyperlink w:anchor="P94" w:history="1">
        <w:r>
          <w:rPr>
            <w:color w:val="0000FF"/>
          </w:rPr>
          <w:t>04</w:t>
        </w:r>
      </w:hyperlink>
      <w:r>
        <w:t xml:space="preserve"> - соответственно численность пострадавших женщин, лиц в возрасте до 18 лет, иностранных граждан. По </w:t>
      </w:r>
      <w:hyperlink w:anchor="P98" w:history="1">
        <w:r>
          <w:rPr>
            <w:color w:val="0000FF"/>
          </w:rPr>
          <w:t>строке 05</w:t>
        </w:r>
      </w:hyperlink>
      <w:r>
        <w:t xml:space="preserve"> - численность пострадавших, у которых в </w:t>
      </w:r>
      <w:hyperlink r:id="rId16" w:history="1">
        <w:r>
          <w:rPr>
            <w:color w:val="0000FF"/>
          </w:rPr>
          <w:t>пункте 10</w:t>
        </w:r>
      </w:hyperlink>
      <w:r>
        <w:t xml:space="preserve"> акта формы Н-1 (в </w:t>
      </w:r>
      <w:hyperlink r:id="rId17" w:history="1">
        <w:r>
          <w:rPr>
            <w:color w:val="0000FF"/>
          </w:rPr>
          <w:t>пункте 9</w:t>
        </w:r>
      </w:hyperlink>
      <w:r>
        <w:t xml:space="preserve"> акта формы Н-1ПС) в качестве виновных лиц указаны работники отчитывающейся организации. По </w:t>
      </w:r>
      <w:hyperlink w:anchor="P102" w:history="1">
        <w:r>
          <w:rPr>
            <w:color w:val="0000FF"/>
          </w:rPr>
          <w:t>строке 06</w:t>
        </w:r>
      </w:hyperlink>
      <w:r>
        <w:t xml:space="preserve"> - численность пострадавших, у которых в </w:t>
      </w:r>
      <w:hyperlink r:id="rId18" w:history="1">
        <w:r>
          <w:rPr>
            <w:color w:val="0000FF"/>
          </w:rPr>
          <w:t>пункте 8.3</w:t>
        </w:r>
      </w:hyperlink>
      <w:r>
        <w:t xml:space="preserve"> акта формы Н-1 (в </w:t>
      </w:r>
      <w:hyperlink r:id="rId19" w:history="1">
        <w:r>
          <w:rPr>
            <w:color w:val="0000FF"/>
          </w:rPr>
          <w:t>пункте 7.1</w:t>
        </w:r>
      </w:hyperlink>
      <w:r>
        <w:t xml:space="preserve"> акта формы Н-1ПС) указаны данные о нахождении пострадавшего в состоянии алкогольного или наркотического опьянения.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6. По </w:t>
      </w:r>
      <w:hyperlink w:anchor="P106" w:history="1">
        <w:r>
          <w:rPr>
            <w:color w:val="0000FF"/>
          </w:rPr>
          <w:t>строке 07</w:t>
        </w:r>
      </w:hyperlink>
      <w:r>
        <w:t xml:space="preserve"> отражается численность пострадавших, смерть которых наступила в отчетном году, независимо от времени происшествия несчастного случая. По </w:t>
      </w:r>
      <w:hyperlink w:anchor="P111" w:history="1">
        <w:r>
          <w:rPr>
            <w:color w:val="0000FF"/>
          </w:rPr>
          <w:t>строкам 08</w:t>
        </w:r>
      </w:hyperlink>
      <w:r>
        <w:t xml:space="preserve"> - </w:t>
      </w:r>
      <w:hyperlink w:anchor="P119" w:history="1">
        <w:r>
          <w:rPr>
            <w:color w:val="0000FF"/>
          </w:rPr>
          <w:t>10</w:t>
        </w:r>
      </w:hyperlink>
      <w:r>
        <w:t xml:space="preserve"> - соответственно численность пострадавших женщин, лиц в возрасте до 18 лет, иностранных граждан. По </w:t>
      </w:r>
      <w:hyperlink w:anchor="P123" w:history="1">
        <w:r>
          <w:rPr>
            <w:color w:val="0000FF"/>
          </w:rPr>
          <w:t>строке 11</w:t>
        </w:r>
      </w:hyperlink>
      <w:r>
        <w:t xml:space="preserve"> - численность пострадавших, у которых в </w:t>
      </w:r>
      <w:hyperlink r:id="rId20" w:history="1">
        <w:r>
          <w:rPr>
            <w:color w:val="0000FF"/>
          </w:rPr>
          <w:t>пункте 10</w:t>
        </w:r>
      </w:hyperlink>
      <w:r>
        <w:t xml:space="preserve"> акта формы Н-1 (в </w:t>
      </w:r>
      <w:hyperlink r:id="rId21" w:history="1">
        <w:r>
          <w:rPr>
            <w:color w:val="0000FF"/>
          </w:rPr>
          <w:t>пункте 9</w:t>
        </w:r>
      </w:hyperlink>
      <w:r>
        <w:t xml:space="preserve"> акта формы Н-1ПС) в качестве виновных лиц указаны работники отчитывающейся организации. По </w:t>
      </w:r>
      <w:hyperlink w:anchor="P127" w:history="1">
        <w:r>
          <w:rPr>
            <w:color w:val="0000FF"/>
          </w:rPr>
          <w:t>строке 12</w:t>
        </w:r>
      </w:hyperlink>
      <w:r>
        <w:t xml:space="preserve"> - численность пострадавших, у которых в </w:t>
      </w:r>
      <w:hyperlink r:id="rId22" w:history="1">
        <w:r>
          <w:rPr>
            <w:color w:val="0000FF"/>
          </w:rPr>
          <w:t>пункте 8.3</w:t>
        </w:r>
      </w:hyperlink>
      <w:r>
        <w:t xml:space="preserve"> акта формы Н-1 (в </w:t>
      </w:r>
      <w:hyperlink r:id="rId23" w:history="1">
        <w:r>
          <w:rPr>
            <w:color w:val="0000FF"/>
          </w:rPr>
          <w:t>пункте 7.1</w:t>
        </w:r>
      </w:hyperlink>
      <w:r>
        <w:t xml:space="preserve"> акта формы Н-1ПС) указаны данные о нахождении пострадавшего в состоянии алкогольного или наркотического опьянения.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lastRenderedPageBreak/>
        <w:t xml:space="preserve">При наступлении смерти в отчетном году после несчастного случая, который произошел в году, предшествующем отчетному, по </w:t>
      </w:r>
      <w:hyperlink w:anchor="P81" w:history="1">
        <w:r>
          <w:rPr>
            <w:color w:val="0000FF"/>
          </w:rPr>
          <w:t>строке 01</w:t>
        </w:r>
      </w:hyperlink>
      <w:r>
        <w:t xml:space="preserve"> данного отчета этот случай не отражается, поскольку он должен быть уже учтен по этой </w:t>
      </w:r>
      <w:hyperlink w:anchor="P81" w:history="1">
        <w:r>
          <w:rPr>
            <w:color w:val="0000FF"/>
          </w:rPr>
          <w:t>строке</w:t>
        </w:r>
      </w:hyperlink>
      <w:r>
        <w:t xml:space="preserve"> в отчете за предыдущий год.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7. По </w:t>
      </w:r>
      <w:hyperlink w:anchor="P131" w:history="1">
        <w:r>
          <w:rPr>
            <w:color w:val="0000FF"/>
          </w:rPr>
          <w:t>строке 13</w:t>
        </w:r>
      </w:hyperlink>
      <w:r>
        <w:t xml:space="preserve"> отражается число рабочих человеко-дней нетрудоспособности у пострадавших с утратой трудоспособности на 1 рабочий день и более, временная нетрудоспособность которых закончилась в отчетном году. Число дней временной нетрудоспособности отражается суммарно по всем листкам нетрудоспособности, выданным медицинскими организациями. В случае, когда пострадавший получил травму в году, предшествующем отчетному, а временная нетрудоспособность его закончилась в отчетном году, общее число человеко-дней нетрудоспособности показывается по </w:t>
      </w:r>
      <w:hyperlink w:anchor="P131" w:history="1">
        <w:r>
          <w:rPr>
            <w:color w:val="0000FF"/>
          </w:rPr>
          <w:t>строке 13</w:t>
        </w:r>
      </w:hyperlink>
      <w:r>
        <w:t xml:space="preserve"> в отчете за отчетный год. В </w:t>
      </w:r>
      <w:hyperlink w:anchor="P81" w:history="1">
        <w:r>
          <w:rPr>
            <w:color w:val="0000FF"/>
          </w:rPr>
          <w:t>строке 01</w:t>
        </w:r>
      </w:hyperlink>
      <w:r>
        <w:t xml:space="preserve"> этот случай не отражается, как уже учтенный в отчете за предыдущий год.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8. По </w:t>
      </w:r>
      <w:hyperlink w:anchor="P135" w:history="1">
        <w:r>
          <w:rPr>
            <w:color w:val="0000FF"/>
          </w:rPr>
          <w:t>строке 14</w:t>
        </w:r>
      </w:hyperlink>
      <w:r>
        <w:t xml:space="preserve"> показывается численность пострадавших, частично утративших трудоспособность и переведенных с основной работы на другую на 1 рабочий день и более в соответствии с медицинским заключением, но без выдачи листка нетрудоспособности. Если листок нетрудоспособности был выдан пострадавшему, то эта </w:t>
      </w:r>
      <w:hyperlink w:anchor="P135" w:history="1">
        <w:r>
          <w:rPr>
            <w:color w:val="0000FF"/>
          </w:rPr>
          <w:t>строка</w:t>
        </w:r>
      </w:hyperlink>
      <w:r>
        <w:t xml:space="preserve"> не заполняется. По </w:t>
      </w:r>
      <w:hyperlink w:anchor="P139" w:history="1">
        <w:r>
          <w:rPr>
            <w:color w:val="0000FF"/>
          </w:rPr>
          <w:t>строке 15</w:t>
        </w:r>
      </w:hyperlink>
      <w:r>
        <w:t xml:space="preserve"> отражается соответственно численность женщин, частично утративших трудоспособность.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9. По </w:t>
      </w:r>
      <w:hyperlink w:anchor="P143" w:history="1">
        <w:r>
          <w:rPr>
            <w:color w:val="0000FF"/>
          </w:rPr>
          <w:t>строке 16</w:t>
        </w:r>
      </w:hyperlink>
      <w:r>
        <w:t xml:space="preserve"> показывают численность лиц с впервые установленным профессиональным заболеванием в отчетном году на основании заключения, выданного соответствующей лечебно-профилактической организацией и оформленного внутренним распоряжением по организации (приказ и тому подобное).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При отсутствии случая производственного травматизма в отчетном году заполняются </w:t>
      </w:r>
      <w:hyperlink w:anchor="P147" w:history="1">
        <w:r>
          <w:rPr>
            <w:color w:val="0000FF"/>
          </w:rPr>
          <w:t>строки 17</w:t>
        </w:r>
      </w:hyperlink>
      <w:r>
        <w:t xml:space="preserve">, </w:t>
      </w:r>
      <w:hyperlink w:anchor="P172" w:history="1">
        <w:r>
          <w:rPr>
            <w:color w:val="0000FF"/>
          </w:rPr>
          <w:t>23</w:t>
        </w:r>
      </w:hyperlink>
      <w:r>
        <w:t xml:space="preserve"> - </w:t>
      </w:r>
      <w:hyperlink w:anchor="P181" w:history="1">
        <w:r>
          <w:rPr>
            <w:color w:val="0000FF"/>
          </w:rPr>
          <w:t>25</w:t>
        </w:r>
      </w:hyperlink>
      <w:r>
        <w:t>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10. По </w:t>
      </w:r>
      <w:hyperlink w:anchor="P147" w:history="1">
        <w:r>
          <w:rPr>
            <w:color w:val="0000FF"/>
          </w:rPr>
          <w:t>строке 17</w:t>
        </w:r>
      </w:hyperlink>
      <w:r>
        <w:t xml:space="preserve"> отражаются затраты на мероприятия по охране труда, в том числе затраты на улучшение условий и охраны труда на производстве, за счет всех источников финансирования в соответствии с коллективным договором и планом мероприятий по охране труда (</w:t>
      </w:r>
      <w:hyperlink r:id="rId24" w:history="1">
        <w:r>
          <w:rPr>
            <w:color w:val="0000FF"/>
          </w:rPr>
          <w:t>приказ</w:t>
        </w:r>
      </w:hyperlink>
      <w:r>
        <w:t xml:space="preserve"> Минздравсоцразвития России от 1 марта 2012 г. N 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 (зарегистрирован Минюстом России 19 марта 2012 г., регистрационный N 23513) (далее - Типовой перечень). По </w:t>
      </w:r>
      <w:hyperlink w:anchor="P152" w:history="1">
        <w:r>
          <w:rPr>
            <w:color w:val="0000FF"/>
          </w:rPr>
          <w:t>строке 18</w:t>
        </w:r>
      </w:hyperlink>
      <w:r>
        <w:t xml:space="preserve"> отражаются затраты на приобретение спецодежды, спецобуви и других средств индивидуальной защиты (</w:t>
      </w:r>
      <w:hyperlink r:id="rId25" w:history="1">
        <w:r>
          <w:rPr>
            <w:color w:val="0000FF"/>
          </w:rPr>
          <w:t>пункт 19</w:t>
        </w:r>
      </w:hyperlink>
      <w:r>
        <w:t xml:space="preserve"> Типового перечня). По </w:t>
      </w:r>
      <w:hyperlink w:anchor="P156" w:history="1">
        <w:r>
          <w:rPr>
            <w:color w:val="0000FF"/>
          </w:rPr>
          <w:t>строке 19</w:t>
        </w:r>
      </w:hyperlink>
      <w:r>
        <w:t xml:space="preserve"> отражаются затраты на реализацию организационных мероприятий (</w:t>
      </w:r>
      <w:hyperlink r:id="rId26" w:history="1">
        <w:r>
          <w:rPr>
            <w:color w:val="0000FF"/>
          </w:rPr>
          <w:t>пункты 1</w:t>
        </w:r>
      </w:hyperlink>
      <w:r>
        <w:t xml:space="preserve">, </w:t>
      </w:r>
      <w:hyperlink r:id="rId27" w:history="1">
        <w:r>
          <w:rPr>
            <w:color w:val="0000FF"/>
          </w:rPr>
          <w:t>2</w:t>
        </w:r>
      </w:hyperlink>
      <w:r>
        <w:t xml:space="preserve">, </w:t>
      </w:r>
      <w:hyperlink r:id="rId28" w:history="1">
        <w:r>
          <w:rPr>
            <w:color w:val="0000FF"/>
          </w:rPr>
          <w:t>25</w:t>
        </w:r>
      </w:hyperlink>
      <w:r>
        <w:t xml:space="preserve"> - </w:t>
      </w:r>
      <w:hyperlink r:id="rId29" w:history="1">
        <w:r>
          <w:rPr>
            <w:color w:val="0000FF"/>
          </w:rPr>
          <w:t>28</w:t>
        </w:r>
      </w:hyperlink>
      <w:r>
        <w:t xml:space="preserve">, </w:t>
      </w:r>
      <w:hyperlink r:id="rId30" w:history="1">
        <w:r>
          <w:rPr>
            <w:color w:val="0000FF"/>
          </w:rPr>
          <w:t>30</w:t>
        </w:r>
      </w:hyperlink>
      <w:r>
        <w:t xml:space="preserve">, </w:t>
      </w:r>
      <w:hyperlink r:id="rId31" w:history="1">
        <w:r>
          <w:rPr>
            <w:color w:val="0000FF"/>
          </w:rPr>
          <w:t>32</w:t>
        </w:r>
      </w:hyperlink>
      <w:r>
        <w:t xml:space="preserve"> Типового перечня). По </w:t>
      </w:r>
      <w:hyperlink w:anchor="P160" w:history="1">
        <w:r>
          <w:rPr>
            <w:color w:val="0000FF"/>
          </w:rPr>
          <w:t>строке 20</w:t>
        </w:r>
      </w:hyperlink>
      <w:r>
        <w:t xml:space="preserve"> отражаются затраты на реализацию технико-технологических мероприятий (</w:t>
      </w:r>
      <w:hyperlink r:id="rId32" w:history="1">
        <w:r>
          <w:rPr>
            <w:color w:val="0000FF"/>
          </w:rPr>
          <w:t>пункты 3</w:t>
        </w:r>
      </w:hyperlink>
      <w:r>
        <w:t xml:space="preserve"> - </w:t>
      </w:r>
      <w:hyperlink r:id="rId33" w:history="1">
        <w:r>
          <w:rPr>
            <w:color w:val="0000FF"/>
          </w:rPr>
          <w:t>12</w:t>
        </w:r>
      </w:hyperlink>
      <w:r>
        <w:t xml:space="preserve"> Типового перечня). По </w:t>
      </w:r>
      <w:hyperlink w:anchor="P164" w:history="1">
        <w:r>
          <w:rPr>
            <w:color w:val="0000FF"/>
          </w:rPr>
          <w:t>строке 21</w:t>
        </w:r>
      </w:hyperlink>
      <w:r>
        <w:t xml:space="preserve"> отражаются затраты на реализацию санитарно-гигиенических мероприятий (</w:t>
      </w:r>
      <w:hyperlink r:id="rId34" w:history="1">
        <w:r>
          <w:rPr>
            <w:color w:val="0000FF"/>
          </w:rPr>
          <w:t>пункты 13</w:t>
        </w:r>
      </w:hyperlink>
      <w:r>
        <w:t xml:space="preserve"> - </w:t>
      </w:r>
      <w:hyperlink r:id="rId35" w:history="1">
        <w:r>
          <w:rPr>
            <w:color w:val="0000FF"/>
          </w:rPr>
          <w:t>18</w:t>
        </w:r>
      </w:hyperlink>
      <w:r>
        <w:t xml:space="preserve">, </w:t>
      </w:r>
      <w:hyperlink r:id="rId36" w:history="1">
        <w:r>
          <w:rPr>
            <w:color w:val="0000FF"/>
          </w:rPr>
          <w:t>20</w:t>
        </w:r>
      </w:hyperlink>
      <w:r>
        <w:t xml:space="preserve"> Типового перечня). По </w:t>
      </w:r>
      <w:hyperlink w:anchor="P168" w:history="1">
        <w:r>
          <w:rPr>
            <w:color w:val="0000FF"/>
          </w:rPr>
          <w:t>строке 22</w:t>
        </w:r>
      </w:hyperlink>
      <w:r>
        <w:t xml:space="preserve"> отражаются затраты на подготовку работников по охране труда (</w:t>
      </w:r>
      <w:hyperlink r:id="rId37" w:history="1">
        <w:r>
          <w:rPr>
            <w:color w:val="0000FF"/>
          </w:rPr>
          <w:t>пункты 21</w:t>
        </w:r>
      </w:hyperlink>
      <w:r>
        <w:t xml:space="preserve"> - </w:t>
      </w:r>
      <w:hyperlink r:id="rId38" w:history="1">
        <w:r>
          <w:rPr>
            <w:color w:val="0000FF"/>
          </w:rPr>
          <w:t>24</w:t>
        </w:r>
      </w:hyperlink>
      <w:r>
        <w:t xml:space="preserve">, </w:t>
      </w:r>
      <w:hyperlink r:id="rId39" w:history="1">
        <w:r>
          <w:rPr>
            <w:color w:val="0000FF"/>
          </w:rPr>
          <w:t>29</w:t>
        </w:r>
      </w:hyperlink>
      <w:r>
        <w:t xml:space="preserve">, </w:t>
      </w:r>
      <w:hyperlink r:id="rId40" w:history="1">
        <w:r>
          <w:rPr>
            <w:color w:val="0000FF"/>
          </w:rPr>
          <w:t>31</w:t>
        </w:r>
      </w:hyperlink>
      <w:r>
        <w:t xml:space="preserve"> Типового перечня).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Финансирование мероприятий по охране труда прописано в </w:t>
      </w:r>
      <w:hyperlink r:id="rId41" w:history="1">
        <w:r>
          <w:rPr>
            <w:color w:val="0000FF"/>
          </w:rPr>
          <w:t>статье 226</w:t>
        </w:r>
      </w:hyperlink>
      <w:r>
        <w:t xml:space="preserve"> Трудового кодекса Российской Федерации.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11. По </w:t>
      </w:r>
      <w:hyperlink w:anchor="P172" w:history="1">
        <w:r>
          <w:rPr>
            <w:color w:val="0000FF"/>
          </w:rPr>
          <w:t>строке 23</w:t>
        </w:r>
      </w:hyperlink>
      <w:r>
        <w:t xml:space="preserve"> проставляется средняя численность работников, состоящая из работников списочного состава и внешних совместителей, на основании отчетности по труду.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12. По </w:t>
      </w:r>
      <w:hyperlink w:anchor="P176" w:history="1">
        <w:r>
          <w:rPr>
            <w:color w:val="0000FF"/>
          </w:rPr>
          <w:t>строке 24</w:t>
        </w:r>
      </w:hyperlink>
      <w:r>
        <w:t xml:space="preserve"> проставляется средняя численность работающих женщин, состоящая из работников списочного состава и внешних совместителей (без женщин, находящихся в отпуске по беременности и родам и дополнительном отпуске по уходу за ребенком). Работники, заключившие гражданско-правовой договор с отчитывающейся организацией, в </w:t>
      </w:r>
      <w:hyperlink w:anchor="P172" w:history="1">
        <w:r>
          <w:rPr>
            <w:color w:val="0000FF"/>
          </w:rPr>
          <w:t>строки 23</w:t>
        </w:r>
      </w:hyperlink>
      <w:r>
        <w:t xml:space="preserve">, </w:t>
      </w:r>
      <w:hyperlink w:anchor="P176" w:history="1">
        <w:r>
          <w:rPr>
            <w:color w:val="0000FF"/>
          </w:rPr>
          <w:t>24</w:t>
        </w:r>
      </w:hyperlink>
      <w:r>
        <w:t xml:space="preserve"> не включаются.</w:t>
      </w:r>
    </w:p>
    <w:p w:rsidR="006D51C6" w:rsidRDefault="006D51C6">
      <w:pPr>
        <w:pStyle w:val="ConsPlusNormal"/>
        <w:spacing w:before="220"/>
        <w:ind w:firstLine="540"/>
        <w:jc w:val="both"/>
      </w:pPr>
      <w:r>
        <w:t xml:space="preserve">13. </w:t>
      </w:r>
      <w:hyperlink w:anchor="P181" w:history="1">
        <w:r>
          <w:rPr>
            <w:color w:val="0000FF"/>
          </w:rPr>
          <w:t>Строку 25</w:t>
        </w:r>
      </w:hyperlink>
      <w:r>
        <w:t xml:space="preserve"> заполняют учреждения, организации (в том числе лечебно-профилактические организации), имеющие в штатном расписании врачей, фельдшеров, медицинских сестер, которые </w:t>
      </w:r>
      <w:r>
        <w:lastRenderedPageBreak/>
        <w:t>могут оказать первичную неотложную помощь, отмечая это как наличие здравпункта (врачебного кабинета, медико-санитарной части и тому подобное).</w:t>
      </w: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ind w:firstLine="540"/>
        <w:jc w:val="both"/>
        <w:outlineLvl w:val="2"/>
      </w:pPr>
      <w:r>
        <w:t>Логический контроль:</w:t>
      </w:r>
    </w:p>
    <w:p w:rsidR="006D51C6" w:rsidRDefault="006D51C6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118"/>
        <w:gridCol w:w="2835"/>
      </w:tblGrid>
      <w:tr w:rsidR="006D51C6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  <w:hyperlink w:anchor="P81" w:history="1">
              <w:r>
                <w:rPr>
                  <w:color w:val="0000FF"/>
                </w:rPr>
                <w:t xml:space="preserve">Строка </w:t>
              </w:r>
              <w:proofErr w:type="gramStart"/>
              <w:r>
                <w:rPr>
                  <w:color w:val="0000FF"/>
                </w:rPr>
                <w:t>01</w:t>
              </w:r>
            </w:hyperlink>
            <w:r>
              <w:t xml:space="preserve"> &gt;</w:t>
            </w:r>
            <w:proofErr w:type="gramEnd"/>
            <w:r>
              <w:t xml:space="preserve">= </w:t>
            </w:r>
            <w:hyperlink w:anchor="P86" w:history="1">
              <w:r>
                <w:rPr>
                  <w:color w:val="0000FF"/>
                </w:rPr>
                <w:t>строке 02</w:t>
              </w:r>
            </w:hyperlink>
          </w:p>
          <w:p w:rsidR="006D51C6" w:rsidRDefault="006D51C6">
            <w:pPr>
              <w:pStyle w:val="ConsPlusNormal"/>
            </w:pPr>
            <w:hyperlink w:anchor="P81" w:history="1">
              <w:r>
                <w:rPr>
                  <w:color w:val="0000FF"/>
                </w:rPr>
                <w:t xml:space="preserve">Строка </w:t>
              </w:r>
              <w:proofErr w:type="gramStart"/>
              <w:r>
                <w:rPr>
                  <w:color w:val="0000FF"/>
                </w:rPr>
                <w:t>01</w:t>
              </w:r>
            </w:hyperlink>
            <w:r>
              <w:t xml:space="preserve"> &gt;</w:t>
            </w:r>
            <w:proofErr w:type="gramEnd"/>
            <w:r>
              <w:t xml:space="preserve">= </w:t>
            </w:r>
            <w:hyperlink w:anchor="P90" w:history="1">
              <w:r>
                <w:rPr>
                  <w:color w:val="0000FF"/>
                </w:rPr>
                <w:t>строке 03</w:t>
              </w:r>
            </w:hyperlink>
          </w:p>
          <w:p w:rsidR="006D51C6" w:rsidRDefault="006D51C6">
            <w:pPr>
              <w:pStyle w:val="ConsPlusNormal"/>
            </w:pPr>
            <w:hyperlink w:anchor="P81" w:history="1">
              <w:r>
                <w:rPr>
                  <w:color w:val="0000FF"/>
                </w:rPr>
                <w:t xml:space="preserve">Строка </w:t>
              </w:r>
              <w:proofErr w:type="gramStart"/>
              <w:r>
                <w:rPr>
                  <w:color w:val="0000FF"/>
                </w:rPr>
                <w:t>01</w:t>
              </w:r>
            </w:hyperlink>
            <w:r>
              <w:t xml:space="preserve"> &gt;</w:t>
            </w:r>
            <w:proofErr w:type="gramEnd"/>
            <w:r>
              <w:t xml:space="preserve">= </w:t>
            </w:r>
            <w:hyperlink w:anchor="P94" w:history="1">
              <w:r>
                <w:rPr>
                  <w:color w:val="0000FF"/>
                </w:rPr>
                <w:t>строке 04</w:t>
              </w:r>
            </w:hyperlink>
          </w:p>
          <w:p w:rsidR="006D51C6" w:rsidRDefault="006D51C6">
            <w:pPr>
              <w:pStyle w:val="ConsPlusNormal"/>
            </w:pPr>
            <w:hyperlink w:anchor="P81" w:history="1">
              <w:r>
                <w:rPr>
                  <w:color w:val="0000FF"/>
                </w:rPr>
                <w:t xml:space="preserve">Строка </w:t>
              </w:r>
              <w:proofErr w:type="gramStart"/>
              <w:r>
                <w:rPr>
                  <w:color w:val="0000FF"/>
                </w:rPr>
                <w:t>01</w:t>
              </w:r>
            </w:hyperlink>
            <w:r>
              <w:t xml:space="preserve"> &gt;</w:t>
            </w:r>
            <w:proofErr w:type="gramEnd"/>
            <w:r>
              <w:t xml:space="preserve">= </w:t>
            </w:r>
            <w:hyperlink w:anchor="P98" w:history="1">
              <w:r>
                <w:rPr>
                  <w:color w:val="0000FF"/>
                </w:rPr>
                <w:t>строке 05</w:t>
              </w:r>
            </w:hyperlink>
          </w:p>
          <w:p w:rsidR="006D51C6" w:rsidRDefault="006D51C6">
            <w:pPr>
              <w:pStyle w:val="ConsPlusNormal"/>
            </w:pPr>
            <w:hyperlink w:anchor="P81" w:history="1">
              <w:r>
                <w:rPr>
                  <w:color w:val="0000FF"/>
                </w:rPr>
                <w:t xml:space="preserve">Строка </w:t>
              </w:r>
              <w:proofErr w:type="gramStart"/>
              <w:r>
                <w:rPr>
                  <w:color w:val="0000FF"/>
                </w:rPr>
                <w:t>01</w:t>
              </w:r>
            </w:hyperlink>
            <w:r>
              <w:t xml:space="preserve"> &gt;</w:t>
            </w:r>
            <w:proofErr w:type="gramEnd"/>
            <w:r>
              <w:t xml:space="preserve">= </w:t>
            </w:r>
            <w:hyperlink w:anchor="P102" w:history="1">
              <w:r>
                <w:rPr>
                  <w:color w:val="0000FF"/>
                </w:rPr>
                <w:t>строке 06</w:t>
              </w:r>
            </w:hyperlink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86" w:history="1">
              <w:r>
                <w:rPr>
                  <w:color w:val="0000FF"/>
                </w:rPr>
                <w:t>строка 02</w:t>
              </w:r>
            </w:hyperlink>
            <w:r>
              <w:t xml:space="preserve"> /= 0, то </w:t>
            </w:r>
            <w:hyperlink w:anchor="P81" w:history="1">
              <w:r>
                <w:rPr>
                  <w:color w:val="0000FF"/>
                </w:rPr>
                <w:t>строка 01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90" w:history="1">
              <w:r>
                <w:rPr>
                  <w:color w:val="0000FF"/>
                </w:rPr>
                <w:t>строка 03</w:t>
              </w:r>
            </w:hyperlink>
            <w:r>
              <w:t xml:space="preserve"> /= 0, то </w:t>
            </w:r>
            <w:hyperlink w:anchor="P81" w:history="1">
              <w:r>
                <w:rPr>
                  <w:color w:val="0000FF"/>
                </w:rPr>
                <w:t>строка 01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94" w:history="1">
              <w:r>
                <w:rPr>
                  <w:color w:val="0000FF"/>
                </w:rPr>
                <w:t>строка 04</w:t>
              </w:r>
            </w:hyperlink>
            <w:r>
              <w:t xml:space="preserve"> /= 0, то </w:t>
            </w:r>
            <w:hyperlink w:anchor="P81" w:history="1">
              <w:r>
                <w:rPr>
                  <w:color w:val="0000FF"/>
                </w:rPr>
                <w:t>строка 01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98" w:history="1">
              <w:r>
                <w:rPr>
                  <w:color w:val="0000FF"/>
                </w:rPr>
                <w:t>строка 05</w:t>
              </w:r>
            </w:hyperlink>
            <w:r>
              <w:t xml:space="preserve"> /= 0, то </w:t>
            </w:r>
            <w:hyperlink w:anchor="P81" w:history="1">
              <w:r>
                <w:rPr>
                  <w:color w:val="0000FF"/>
                </w:rPr>
                <w:t>строка 01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02" w:history="1">
              <w:r>
                <w:rPr>
                  <w:color w:val="0000FF"/>
                </w:rPr>
                <w:t>строка 06</w:t>
              </w:r>
            </w:hyperlink>
            <w:r>
              <w:t xml:space="preserve"> /= 0, то </w:t>
            </w:r>
            <w:hyperlink w:anchor="P81" w:history="1">
              <w:r>
                <w:rPr>
                  <w:color w:val="0000FF"/>
                </w:rPr>
                <w:t>строка 01</w:t>
              </w:r>
            </w:hyperlink>
            <w:r>
              <w:t xml:space="preserve"> /= 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  <w:hyperlink w:anchor="P86" w:history="1">
              <w:r>
                <w:rPr>
                  <w:color w:val="0000FF"/>
                </w:rPr>
                <w:t xml:space="preserve">Строка </w:t>
              </w:r>
              <w:proofErr w:type="gramStart"/>
              <w:r>
                <w:rPr>
                  <w:color w:val="0000FF"/>
                </w:rPr>
                <w:t>02</w:t>
              </w:r>
            </w:hyperlink>
            <w:r>
              <w:t xml:space="preserve"> &gt;</w:t>
            </w:r>
            <w:proofErr w:type="gramEnd"/>
            <w:r>
              <w:t xml:space="preserve">= </w:t>
            </w:r>
            <w:hyperlink w:anchor="P111" w:history="1">
              <w:r>
                <w:rPr>
                  <w:color w:val="0000FF"/>
                </w:rPr>
                <w:t>строке 08</w:t>
              </w:r>
            </w:hyperlink>
          </w:p>
          <w:p w:rsidR="006D51C6" w:rsidRDefault="006D51C6">
            <w:pPr>
              <w:pStyle w:val="ConsPlusNormal"/>
            </w:pPr>
            <w:hyperlink w:anchor="P90" w:history="1">
              <w:r>
                <w:rPr>
                  <w:color w:val="0000FF"/>
                </w:rPr>
                <w:t xml:space="preserve">Строка </w:t>
              </w:r>
              <w:proofErr w:type="gramStart"/>
              <w:r>
                <w:rPr>
                  <w:color w:val="0000FF"/>
                </w:rPr>
                <w:t>03</w:t>
              </w:r>
            </w:hyperlink>
            <w:r>
              <w:t xml:space="preserve"> &gt;</w:t>
            </w:r>
            <w:proofErr w:type="gramEnd"/>
            <w:r>
              <w:t xml:space="preserve">= </w:t>
            </w:r>
            <w:hyperlink w:anchor="P115" w:history="1">
              <w:r>
                <w:rPr>
                  <w:color w:val="0000FF"/>
                </w:rPr>
                <w:t>строке 09</w:t>
              </w:r>
            </w:hyperlink>
          </w:p>
          <w:p w:rsidR="006D51C6" w:rsidRDefault="006D51C6">
            <w:pPr>
              <w:pStyle w:val="ConsPlusNormal"/>
            </w:pPr>
            <w:hyperlink w:anchor="P94" w:history="1">
              <w:r>
                <w:rPr>
                  <w:color w:val="0000FF"/>
                </w:rPr>
                <w:t xml:space="preserve">Строка </w:t>
              </w:r>
              <w:proofErr w:type="gramStart"/>
              <w:r>
                <w:rPr>
                  <w:color w:val="0000FF"/>
                </w:rPr>
                <w:t>04</w:t>
              </w:r>
            </w:hyperlink>
            <w:r>
              <w:t xml:space="preserve"> &gt;</w:t>
            </w:r>
            <w:proofErr w:type="gramEnd"/>
            <w:r>
              <w:t xml:space="preserve">= </w:t>
            </w:r>
            <w:hyperlink w:anchor="P119" w:history="1">
              <w:r>
                <w:rPr>
                  <w:color w:val="0000FF"/>
                </w:rPr>
                <w:t>строке 10</w:t>
              </w:r>
            </w:hyperlink>
          </w:p>
          <w:p w:rsidR="006D51C6" w:rsidRDefault="006D51C6">
            <w:pPr>
              <w:pStyle w:val="ConsPlusNormal"/>
            </w:pPr>
            <w:hyperlink w:anchor="P98" w:history="1">
              <w:r>
                <w:rPr>
                  <w:color w:val="0000FF"/>
                </w:rPr>
                <w:t xml:space="preserve">Строка </w:t>
              </w:r>
              <w:proofErr w:type="gramStart"/>
              <w:r>
                <w:rPr>
                  <w:color w:val="0000FF"/>
                </w:rPr>
                <w:t>05</w:t>
              </w:r>
            </w:hyperlink>
            <w:r>
              <w:t xml:space="preserve"> &gt;</w:t>
            </w:r>
            <w:proofErr w:type="gramEnd"/>
            <w:r>
              <w:t xml:space="preserve">= </w:t>
            </w:r>
            <w:hyperlink w:anchor="P123" w:history="1">
              <w:r>
                <w:rPr>
                  <w:color w:val="0000FF"/>
                </w:rPr>
                <w:t>строке 11</w:t>
              </w:r>
            </w:hyperlink>
          </w:p>
          <w:p w:rsidR="006D51C6" w:rsidRDefault="006D51C6">
            <w:pPr>
              <w:pStyle w:val="ConsPlusNormal"/>
            </w:pPr>
            <w:hyperlink w:anchor="P102" w:history="1">
              <w:r>
                <w:rPr>
                  <w:color w:val="0000FF"/>
                </w:rPr>
                <w:t xml:space="preserve">Строка </w:t>
              </w:r>
              <w:proofErr w:type="gramStart"/>
              <w:r>
                <w:rPr>
                  <w:color w:val="0000FF"/>
                </w:rPr>
                <w:t>06</w:t>
              </w:r>
            </w:hyperlink>
            <w:r>
              <w:t xml:space="preserve"> &gt;</w:t>
            </w:r>
            <w:proofErr w:type="gramEnd"/>
            <w:r>
              <w:t xml:space="preserve">= </w:t>
            </w:r>
            <w:hyperlink w:anchor="P127" w:history="1">
              <w:r>
                <w:rPr>
                  <w:color w:val="0000FF"/>
                </w:rPr>
                <w:t>строке 12</w:t>
              </w:r>
            </w:hyperlink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11" w:history="1">
              <w:r>
                <w:rPr>
                  <w:color w:val="0000FF"/>
                </w:rPr>
                <w:t>строка 08</w:t>
              </w:r>
            </w:hyperlink>
            <w:r>
              <w:t xml:space="preserve"> /= 0, то </w:t>
            </w:r>
            <w:hyperlink w:anchor="P106" w:history="1">
              <w:r>
                <w:rPr>
                  <w:color w:val="0000FF"/>
                </w:rPr>
                <w:t>строка 07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15" w:history="1">
              <w:r>
                <w:rPr>
                  <w:color w:val="0000FF"/>
                </w:rPr>
                <w:t>строка 09</w:t>
              </w:r>
            </w:hyperlink>
            <w:r>
              <w:t xml:space="preserve"> /= 0, то </w:t>
            </w:r>
            <w:hyperlink w:anchor="P106" w:history="1">
              <w:r>
                <w:rPr>
                  <w:color w:val="0000FF"/>
                </w:rPr>
                <w:t>строка 07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19" w:history="1">
              <w:r>
                <w:rPr>
                  <w:color w:val="0000FF"/>
                </w:rPr>
                <w:t>строка 10</w:t>
              </w:r>
            </w:hyperlink>
            <w:r>
              <w:t xml:space="preserve"> /= 0, то </w:t>
            </w:r>
            <w:hyperlink w:anchor="P106" w:history="1">
              <w:r>
                <w:rPr>
                  <w:color w:val="0000FF"/>
                </w:rPr>
                <w:t>строка 07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23" w:history="1">
              <w:r>
                <w:rPr>
                  <w:color w:val="0000FF"/>
                </w:rPr>
                <w:t>строка 11</w:t>
              </w:r>
            </w:hyperlink>
            <w:r>
              <w:t xml:space="preserve"> /= 0, то </w:t>
            </w:r>
            <w:hyperlink w:anchor="P106" w:history="1">
              <w:r>
                <w:rPr>
                  <w:color w:val="0000FF"/>
                </w:rPr>
                <w:t>строка 07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27" w:history="1">
              <w:r>
                <w:rPr>
                  <w:color w:val="0000FF"/>
                </w:rPr>
                <w:t>строка 12</w:t>
              </w:r>
            </w:hyperlink>
            <w:r>
              <w:t xml:space="preserve"> /= 0, то </w:t>
            </w:r>
            <w:hyperlink w:anchor="P106" w:history="1">
              <w:r>
                <w:rPr>
                  <w:color w:val="0000FF"/>
                </w:rPr>
                <w:t>строка 07</w:t>
              </w:r>
            </w:hyperlink>
            <w:r>
              <w:t xml:space="preserve"> /= 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06" w:history="1">
              <w:r>
                <w:rPr>
                  <w:color w:val="0000FF"/>
                </w:rPr>
                <w:t>строка 07</w:t>
              </w:r>
            </w:hyperlink>
            <w:r>
              <w:t xml:space="preserve"> /= 0, то </w:t>
            </w:r>
            <w:hyperlink w:anchor="P81" w:history="1">
              <w:r>
                <w:rPr>
                  <w:color w:val="0000FF"/>
                </w:rPr>
                <w:t>строка 01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11" w:history="1">
              <w:r>
                <w:rPr>
                  <w:color w:val="0000FF"/>
                </w:rPr>
                <w:t>строка 08</w:t>
              </w:r>
            </w:hyperlink>
            <w:r>
              <w:t xml:space="preserve"> /= 0, то </w:t>
            </w:r>
            <w:hyperlink w:anchor="P86" w:history="1">
              <w:r>
                <w:rPr>
                  <w:color w:val="0000FF"/>
                </w:rPr>
                <w:t>строка 02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15" w:history="1">
              <w:r>
                <w:rPr>
                  <w:color w:val="0000FF"/>
                </w:rPr>
                <w:t>строка 09</w:t>
              </w:r>
            </w:hyperlink>
            <w:r>
              <w:t xml:space="preserve"> /= 0, то </w:t>
            </w:r>
            <w:hyperlink w:anchor="P90" w:history="1">
              <w:r>
                <w:rPr>
                  <w:color w:val="0000FF"/>
                </w:rPr>
                <w:t>строка 03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19" w:history="1">
              <w:r>
                <w:rPr>
                  <w:color w:val="0000FF"/>
                </w:rPr>
                <w:t>строка 10</w:t>
              </w:r>
            </w:hyperlink>
            <w:r>
              <w:t xml:space="preserve"> /= 0, то </w:t>
            </w:r>
            <w:hyperlink w:anchor="P94" w:history="1">
              <w:r>
                <w:rPr>
                  <w:color w:val="0000FF"/>
                </w:rPr>
                <w:t>строка 04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23" w:history="1">
              <w:r>
                <w:rPr>
                  <w:color w:val="0000FF"/>
                </w:rPr>
                <w:t>строка 11</w:t>
              </w:r>
            </w:hyperlink>
            <w:r>
              <w:t xml:space="preserve"> /= 0, то </w:t>
            </w:r>
            <w:hyperlink w:anchor="P98" w:history="1">
              <w:r>
                <w:rPr>
                  <w:color w:val="0000FF"/>
                </w:rPr>
                <w:t>строка 05</w:t>
              </w:r>
            </w:hyperlink>
            <w:r>
              <w:t xml:space="preserve"> /= 0</w:t>
            </w:r>
          </w:p>
          <w:p w:rsidR="006D51C6" w:rsidRDefault="006D51C6">
            <w:pPr>
              <w:pStyle w:val="ConsPlusNormal"/>
            </w:pPr>
            <w:r>
              <w:t xml:space="preserve">Если </w:t>
            </w:r>
            <w:hyperlink w:anchor="P127" w:history="1">
              <w:r>
                <w:rPr>
                  <w:color w:val="0000FF"/>
                </w:rPr>
                <w:t>строка 12</w:t>
              </w:r>
            </w:hyperlink>
            <w:r>
              <w:t xml:space="preserve"> /= 0, то </w:t>
            </w:r>
            <w:hyperlink w:anchor="P102" w:history="1">
              <w:r>
                <w:rPr>
                  <w:color w:val="0000FF"/>
                </w:rPr>
                <w:t>строка 06</w:t>
              </w:r>
            </w:hyperlink>
            <w:r>
              <w:t xml:space="preserve"> /= 0</w:t>
            </w:r>
          </w:p>
        </w:tc>
      </w:tr>
    </w:tbl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jc w:val="both"/>
      </w:pPr>
    </w:p>
    <w:p w:rsidR="006D51C6" w:rsidRDefault="006D51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B6F9D" w:rsidRDefault="00FB6F9D">
      <w:bookmarkStart w:id="32" w:name="_GoBack"/>
      <w:bookmarkEnd w:id="32"/>
    </w:p>
    <w:sectPr w:rsidR="00FB6F9D" w:rsidSect="0026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C6"/>
    <w:rsid w:val="006D51C6"/>
    <w:rsid w:val="00FB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DDE6B-53BF-4CDB-9BF8-DA5CBA97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51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E67DD85D690E17F9882F93D3DEF79E277F8B352847AC2DF35E5B9A4E170DD1C79D8550DE1D33D3F956535D19hCZ5I" TargetMode="External"/><Relationship Id="rId13" Type="http://schemas.openxmlformats.org/officeDocument/2006/relationships/hyperlink" Target="consultantplus://offline/ref=7CE67DD85D690E17F9882F93D3DEF79E267987302C4FAC2DF35E5B9A4E170DD1D59DDD5CDD1D2FD1FD43050C5F90AE70D8C6F0780DF79A06h2Z9I" TargetMode="External"/><Relationship Id="rId18" Type="http://schemas.openxmlformats.org/officeDocument/2006/relationships/hyperlink" Target="consultantplus://offline/ref=7CE67DD85D690E17F9882F93D3DEF79E267987302C4FAC2DF35E5B9A4E170DD1D59DDD5CDD1D2CD5F843050C5F90AE70D8C6F0780DF79A06h2Z9I" TargetMode="External"/><Relationship Id="rId26" Type="http://schemas.openxmlformats.org/officeDocument/2006/relationships/hyperlink" Target="consultantplus://offline/ref=7CE67DD85D690E17F9882F93D3DEF79E257F8A302F47AC2DF35E5B9A4E170DD1D59DDD5FD6497C96AC45525D05C4A36DDAD8F3h7Z8I" TargetMode="External"/><Relationship Id="rId39" Type="http://schemas.openxmlformats.org/officeDocument/2006/relationships/hyperlink" Target="consultantplus://offline/ref=7CE67DD85D690E17F9882F93D3DEF79E257F8A302F47AC2DF35E5B9A4E170DD1D59DDD5CDD1D2DD6F143050C5F90AE70D8C6F0780DF79A06h2Z9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CE67DD85D690E17F9882F93D3DEF79E267987302C4FAC2DF35E5B9A4E170DD1D59DDD5CDD1D2ED3FC43050C5F90AE70D8C6F0780DF79A06h2Z9I" TargetMode="External"/><Relationship Id="rId34" Type="http://schemas.openxmlformats.org/officeDocument/2006/relationships/hyperlink" Target="consultantplus://offline/ref=7CE67DD85D690E17F9882F93D3DEF79E257F8A302F47AC2DF35E5B9A4E170DD1D59DDD5CDD1D2DD0FF43050C5F90AE70D8C6F0780DF79A06h2Z9I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7CE67DD85D690E17F9882F93D3DEF79E267886332949AC2DF35E5B9A4E170DD1C79D8550DE1D33D3F956535D19hCZ5I" TargetMode="External"/><Relationship Id="rId12" Type="http://schemas.openxmlformats.org/officeDocument/2006/relationships/hyperlink" Target="consultantplus://offline/ref=7CE67DD85D690E17F9882F93D3DEF79E267987302C4FAC2DF35E5B9A4E170DD1D59DDD5CDD1D2DD5F043050C5F90AE70D8C6F0780DF79A06h2Z9I" TargetMode="External"/><Relationship Id="rId17" Type="http://schemas.openxmlformats.org/officeDocument/2006/relationships/hyperlink" Target="consultantplus://offline/ref=7CE67DD85D690E17F9882F93D3DEF79E267987302C4FAC2DF35E5B9A4E170DD1D59DDD5CDD1D2ED3FC43050C5F90AE70D8C6F0780DF79A06h2Z9I" TargetMode="External"/><Relationship Id="rId25" Type="http://schemas.openxmlformats.org/officeDocument/2006/relationships/hyperlink" Target="consultantplus://offline/ref=7CE67DD85D690E17F9882F93D3DEF79E257F8A302F47AC2DF35E5B9A4E170DD1D59DDD5CDD1D2DD1FB43050C5F90AE70D8C6F0780DF79A06h2Z9I" TargetMode="External"/><Relationship Id="rId33" Type="http://schemas.openxmlformats.org/officeDocument/2006/relationships/hyperlink" Target="consultantplus://offline/ref=7CE67DD85D690E17F9882F93D3DEF79E257F8A302F47AC2DF35E5B9A4E170DD1D59DDD5CDD1D2DD0FC43050C5F90AE70D8C6F0780DF79A06h2Z9I" TargetMode="External"/><Relationship Id="rId38" Type="http://schemas.openxmlformats.org/officeDocument/2006/relationships/hyperlink" Target="consultantplus://offline/ref=7CE67DD85D690E17F9882F93D3DEF79E257F8A302F47AC2DF35E5B9A4E170DD1D59DDD5CDD1D2DD6F843050C5F90AE70D8C6F0780DF79A06h2Z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E67DD85D690E17F9882F93D3DEF79E267987302C4FAC2DF35E5B9A4E170DD1D59DDD5CDD1D2CDBFD43050C5F90AE70D8C6F0780DF79A06h2Z9I" TargetMode="External"/><Relationship Id="rId20" Type="http://schemas.openxmlformats.org/officeDocument/2006/relationships/hyperlink" Target="consultantplus://offline/ref=7CE67DD85D690E17F9882F93D3DEF79E267987302C4FAC2DF35E5B9A4E170DD1D59DDD5CDD1D2CDBFD43050C5F90AE70D8C6F0780DF79A06h2Z9I" TargetMode="External"/><Relationship Id="rId29" Type="http://schemas.openxmlformats.org/officeDocument/2006/relationships/hyperlink" Target="consultantplus://offline/ref=7CE67DD85D690E17F9882F93D3DEF79E257F8A302F47AC2DF35E5B9A4E170DD1D59DDD5CDD1D2DD6FE43050C5F90AE70D8C6F0780DF79A06h2Z9I" TargetMode="External"/><Relationship Id="rId41" Type="http://schemas.openxmlformats.org/officeDocument/2006/relationships/hyperlink" Target="consultantplus://offline/ref=7CE67DD85D690E17F9882F93D3DEF79E277C89362C4BAC2DF35E5B9A4E170DD1D59DDD5CDD1C2EDAFE43050C5F90AE70D8C6F0780DF79A06h2Z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E67DD85D690E17F9882F93D3DEF79E277F8A332648AC2DF35E5B9A4E170DD1D59DDD5CDD1F2DD0F843050C5F90AE70D8C6F0780DF79A06h2Z9I" TargetMode="External"/><Relationship Id="rId11" Type="http://schemas.openxmlformats.org/officeDocument/2006/relationships/hyperlink" Target="consultantplus://offline/ref=7CE67DD85D690E17F9882F93D3DEF79E277C8D342A4CAC2DF35E5B9A4E170DD1D59DDD5CDD1C28D7F843050C5F90AE70D8C6F0780DF79A06h2Z9I" TargetMode="External"/><Relationship Id="rId24" Type="http://schemas.openxmlformats.org/officeDocument/2006/relationships/hyperlink" Target="consultantplus://offline/ref=7CE67DD85D690E17F9882F93D3DEF79E257F8A302F47AC2DF35E5B9A4E170DD1C79D8550DE1D33D3F956535D19hCZ5I" TargetMode="External"/><Relationship Id="rId32" Type="http://schemas.openxmlformats.org/officeDocument/2006/relationships/hyperlink" Target="consultantplus://offline/ref=7CE67DD85D690E17F9882F93D3DEF79E257F8A302F47AC2DF35E5B9A4E170DD1D59DDD5CDD1D2DD3FF43050C5F90AE70D8C6F0780DF79A06h2Z9I" TargetMode="External"/><Relationship Id="rId37" Type="http://schemas.openxmlformats.org/officeDocument/2006/relationships/hyperlink" Target="consultantplus://offline/ref=7CE67DD85D690E17F9882F93D3DEF79E257F8A302F47AC2DF35E5B9A4E170DD1D59DDD5CDD1D2DD1FF43050C5F90AE70D8C6F0780DF79A06h2Z9I" TargetMode="External"/><Relationship Id="rId40" Type="http://schemas.openxmlformats.org/officeDocument/2006/relationships/hyperlink" Target="consultantplus://offline/ref=7CE67DD85D690E17F9882F93D3DEF79E257F8A302F47AC2DF35E5B9A4E170DD1D59DDD5CDD1D2DD7F943050C5F90AE70D8C6F0780DF79A06h2Z9I" TargetMode="External"/><Relationship Id="rId5" Type="http://schemas.openxmlformats.org/officeDocument/2006/relationships/hyperlink" Target="consultantplus://offline/ref=7CE67DD85D690E17F9882F93D3DEF79E277B893F2D4FAC2DF35E5B9A4E170DD1D59DDD5CDD1D2DD1FB43050C5F90AE70D8C6F0780DF79A06h2Z9I" TargetMode="External"/><Relationship Id="rId15" Type="http://schemas.openxmlformats.org/officeDocument/2006/relationships/hyperlink" Target="consultantplus://offline/ref=7CE67DD85D690E17F9882F93D3DEF79E277C89362C4BAC2DF35E5B9A4E170DD1D59DDD5CDD1E2CD9AD19150816C6A36DD9D8EF7A13F7h9ZAI" TargetMode="External"/><Relationship Id="rId23" Type="http://schemas.openxmlformats.org/officeDocument/2006/relationships/hyperlink" Target="consultantplus://offline/ref=7CE67DD85D690E17F9882F93D3DEF79E267987302C4FAC2DF35E5B9A4E170DD1D59DDD5CDD1D2FDAF043050C5F90AE70D8C6F0780DF79A06h2Z9I" TargetMode="External"/><Relationship Id="rId28" Type="http://schemas.openxmlformats.org/officeDocument/2006/relationships/hyperlink" Target="consultantplus://offline/ref=7CE67DD85D690E17F9882F93D3DEF79E257F8A302F47AC2DF35E5B9A4E170DD1D59DDD5CDD1D2DD6FB43050C5F90AE70D8C6F0780DF79A06h2Z9I" TargetMode="External"/><Relationship Id="rId36" Type="http://schemas.openxmlformats.org/officeDocument/2006/relationships/hyperlink" Target="consultantplus://offline/ref=7CE67DD85D690E17F9882F93D3DEF79E257F8A302F47AC2DF35E5B9A4E170DD1D59DDD5CDD1D2DD1FC43050C5F90AE70D8C6F0780DF79A06h2Z9I" TargetMode="External"/><Relationship Id="rId10" Type="http://schemas.openxmlformats.org/officeDocument/2006/relationships/hyperlink" Target="consultantplus://offline/ref=7CE67DD85D690E17F9882F93D3DEF79E277D8735284CAC2DF35E5B9A4E170DD1D59DDD5FDC182686A80C045018C5BD72D8C6F37811hFZ5I" TargetMode="External"/><Relationship Id="rId19" Type="http://schemas.openxmlformats.org/officeDocument/2006/relationships/hyperlink" Target="consultantplus://offline/ref=7CE67DD85D690E17F9882F93D3DEF79E267987302C4FAC2DF35E5B9A4E170DD1D59DDD5CDD1D2FDAF043050C5F90AE70D8C6F0780DF79A06h2Z9I" TargetMode="External"/><Relationship Id="rId31" Type="http://schemas.openxmlformats.org/officeDocument/2006/relationships/hyperlink" Target="consultantplus://offline/ref=7CE67DD85D690E17F9882F93D3DEF79E257F8A302F47AC2DF35E5B9A4E170DD1D59DDD58D6497C96AC45525D05C4A36DDAD8F3h7Z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CE67DD85D690E17F9882F93D3DEF79E277F8F312A4AAC2DF35E5B9A4E170DD1C79D8550DE1D33D3F956535D19hCZ5I" TargetMode="External"/><Relationship Id="rId14" Type="http://schemas.openxmlformats.org/officeDocument/2006/relationships/hyperlink" Target="consultantplus://offline/ref=7CE67DD85D690E17F9882F93D3DEF79E277C89362C4BAC2DF35E5B9A4E170DD1D59DDD54DF182686A80C045018C5BD72D8C6F37811hFZ5I" TargetMode="External"/><Relationship Id="rId22" Type="http://schemas.openxmlformats.org/officeDocument/2006/relationships/hyperlink" Target="consultantplus://offline/ref=7CE67DD85D690E17F9882F93D3DEF79E267987302C4FAC2DF35E5B9A4E170DD1D59DDD5CDD1D2CD5F843050C5F90AE70D8C6F0780DF79A06h2Z9I" TargetMode="External"/><Relationship Id="rId27" Type="http://schemas.openxmlformats.org/officeDocument/2006/relationships/hyperlink" Target="consultantplus://offline/ref=7CE67DD85D690E17F9882F93D3DEF79E257F8A302F47AC2DF35E5B9A4E170DD1D59DDD59D6497C96AC45525D05C4A36DDAD8F3h7Z8I" TargetMode="External"/><Relationship Id="rId30" Type="http://schemas.openxmlformats.org/officeDocument/2006/relationships/hyperlink" Target="consultantplus://offline/ref=7CE67DD85D690E17F9882F93D3DEF79E257F8A302F47AC2DF35E5B9A4E170DD1D59DDD5CDD1D2DD6F043050C5F90AE70D8C6F0780DF79A06h2Z9I" TargetMode="External"/><Relationship Id="rId35" Type="http://schemas.openxmlformats.org/officeDocument/2006/relationships/hyperlink" Target="consultantplus://offline/ref=7CE67DD85D690E17F9882F93D3DEF79E257F8A302F47AC2DF35E5B9A4E170DD1D59DDD5CDD1D2DD1F843050C5F90AE70D8C6F0780DF79A06h2Z9I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4029</Words>
  <Characters>22970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Ерачина Светлана Анатольевна</dc:creator>
  <cp:keywords/>
  <dc:description/>
  <cp:lastModifiedBy>Ерачина Светлана Анатольевна</cp:lastModifiedBy>
  <cp:revision>1</cp:revision>
  <dcterms:created xsi:type="dcterms:W3CDTF">2020-10-30T08:25:00Z</dcterms:created>
  <dcterms:modified xsi:type="dcterms:W3CDTF">2020-10-30T08:27:00Z</dcterms:modified>
</cp:coreProperties>
</file>